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right" w:leader="dot" w:pos="8306"/>
        </w:tabs>
        <w:jc w:val="center"/>
        <w:rPr>
          <w:rFonts w:ascii="黑体" w:hAnsi="黑体" w:eastAsia="黑体" w:cs="黑体"/>
          <w:bCs/>
          <w:sz w:val="44"/>
          <w:szCs w:val="44"/>
        </w:rPr>
      </w:pPr>
    </w:p>
    <w:p>
      <w:pPr>
        <w:pStyle w:val="10"/>
        <w:tabs>
          <w:tab w:val="right" w:leader="dot" w:pos="8306"/>
        </w:tabs>
        <w:jc w:val="center"/>
        <w:rPr>
          <w:rFonts w:ascii="黑体" w:hAnsi="黑体" w:eastAsia="黑体" w:cs="黑体"/>
          <w:bCs/>
          <w:sz w:val="52"/>
          <w:szCs w:val="52"/>
        </w:rPr>
      </w:pPr>
    </w:p>
    <w:p>
      <w:pPr>
        <w:pStyle w:val="10"/>
        <w:tabs>
          <w:tab w:val="right" w:leader="dot" w:pos="8306"/>
        </w:tabs>
        <w:jc w:val="center"/>
        <w:rPr>
          <w:rFonts w:ascii="黑体" w:hAnsi="黑体" w:eastAsia="黑体" w:cs="黑体"/>
          <w:bCs/>
          <w:sz w:val="52"/>
          <w:szCs w:val="52"/>
        </w:rPr>
      </w:pPr>
      <w:r>
        <w:rPr>
          <w:rFonts w:ascii="黑体" w:hAnsi="黑体" w:eastAsia="黑体" w:cs="黑体"/>
          <w:bCs/>
          <w:sz w:val="52"/>
          <w:szCs w:val="52"/>
        </w:rPr>
        <w:t>俄语专业自评表报告</w:t>
      </w:r>
    </w:p>
    <w:p>
      <w:pPr>
        <w:pStyle w:val="10"/>
        <w:tabs>
          <w:tab w:val="right" w:leader="dot" w:pos="8306"/>
        </w:tabs>
        <w:jc w:val="center"/>
        <w:rPr>
          <w:rFonts w:ascii="黑体" w:hAnsi="黑体" w:eastAsia="黑体" w:cs="黑体"/>
          <w:bCs/>
          <w:sz w:val="44"/>
          <w:szCs w:val="44"/>
        </w:rPr>
      </w:pPr>
    </w:p>
    <w:p>
      <w:pPr>
        <w:pStyle w:val="10"/>
        <w:tabs>
          <w:tab w:val="right" w:leader="dot" w:pos="8306"/>
        </w:tabs>
        <w:jc w:val="center"/>
        <w:rPr>
          <w:rFonts w:ascii="黑体" w:hAnsi="黑体" w:eastAsia="黑体" w:cs="黑体"/>
          <w:bCs/>
          <w:sz w:val="44"/>
          <w:szCs w:val="44"/>
        </w:rPr>
      </w:pPr>
    </w:p>
    <w:p>
      <w:pPr>
        <w:pStyle w:val="10"/>
        <w:tabs>
          <w:tab w:val="right" w:leader="dot" w:pos="8306"/>
        </w:tabs>
        <w:jc w:val="center"/>
        <w:rPr>
          <w:rFonts w:ascii="黑体" w:hAnsi="黑体" w:eastAsia="黑体" w:cs="黑体"/>
          <w:bCs/>
          <w:sz w:val="44"/>
          <w:szCs w:val="44"/>
        </w:rPr>
      </w:pPr>
    </w:p>
    <w:p>
      <w:pPr>
        <w:pStyle w:val="10"/>
        <w:tabs>
          <w:tab w:val="right" w:leader="dot" w:pos="8306"/>
        </w:tabs>
        <w:jc w:val="center"/>
        <w:rPr>
          <w:rFonts w:ascii="黑体" w:hAnsi="黑体" w:eastAsia="黑体" w:cs="黑体"/>
          <w:bCs/>
          <w:sz w:val="44"/>
          <w:szCs w:val="44"/>
        </w:rPr>
      </w:pPr>
    </w:p>
    <w:p>
      <w:pPr>
        <w:pStyle w:val="10"/>
        <w:tabs>
          <w:tab w:val="right" w:leader="dot" w:pos="8306"/>
        </w:tabs>
        <w:jc w:val="center"/>
        <w:rPr>
          <w:rFonts w:ascii="黑体" w:hAnsi="黑体" w:eastAsia="黑体" w:cs="黑体"/>
          <w:bCs/>
          <w:sz w:val="44"/>
          <w:szCs w:val="44"/>
        </w:rPr>
      </w:pPr>
    </w:p>
    <w:p>
      <w:pPr>
        <w:pStyle w:val="10"/>
        <w:tabs>
          <w:tab w:val="right" w:leader="dot" w:pos="8306"/>
        </w:tabs>
        <w:jc w:val="center"/>
        <w:rPr>
          <w:rFonts w:ascii="黑体" w:hAnsi="黑体" w:eastAsia="黑体" w:cs="黑体"/>
          <w:bCs/>
          <w:sz w:val="44"/>
          <w:szCs w:val="44"/>
        </w:rPr>
      </w:pPr>
    </w:p>
    <w:p/>
    <w:p/>
    <w:p/>
    <w:p/>
    <w:p/>
    <w:p>
      <w:pPr>
        <w:pStyle w:val="10"/>
        <w:tabs>
          <w:tab w:val="right" w:leader="dot" w:pos="8306"/>
        </w:tabs>
        <w:jc w:val="center"/>
        <w:rPr>
          <w:rFonts w:ascii="黑体" w:hAnsi="黑体" w:eastAsia="黑体" w:cs="黑体"/>
          <w:bCs/>
          <w:sz w:val="28"/>
          <w:szCs w:val="28"/>
        </w:rPr>
      </w:pPr>
      <w:r>
        <w:rPr>
          <w:rFonts w:ascii="黑体" w:hAnsi="黑体" w:eastAsia="黑体" w:cs="黑体"/>
          <w:bCs/>
          <w:sz w:val="28"/>
          <w:szCs w:val="28"/>
        </w:rPr>
        <w:t>国际教育学院</w:t>
      </w:r>
    </w:p>
    <w:p>
      <w:pPr>
        <w:jc w:val="center"/>
        <w:rPr>
          <w:sz w:val="28"/>
          <w:szCs w:val="28"/>
        </w:rPr>
      </w:pPr>
      <w:r>
        <w:rPr>
          <w:rFonts w:hint="eastAsia"/>
          <w:sz w:val="28"/>
          <w:szCs w:val="28"/>
        </w:rPr>
        <w:t>2</w:t>
      </w:r>
      <w:r>
        <w:rPr>
          <w:sz w:val="28"/>
          <w:szCs w:val="28"/>
        </w:rPr>
        <w:t>020年</w:t>
      </w:r>
      <w:r>
        <w:rPr>
          <w:rFonts w:hint="eastAsia"/>
          <w:sz w:val="28"/>
          <w:szCs w:val="28"/>
        </w:rPr>
        <w:t>3月</w:t>
      </w:r>
    </w:p>
    <w:p>
      <w:pPr>
        <w:widowControl/>
        <w:spacing w:before="0" w:beforeAutospacing="0" w:after="0" w:afterAutospacing="0"/>
        <w:jc w:val="center"/>
        <w:rPr>
          <w:rFonts w:ascii="黑体" w:hAnsi="黑体" w:eastAsia="黑体" w:cs="黑体"/>
          <w:bCs/>
          <w:sz w:val="44"/>
          <w:szCs w:val="44"/>
        </w:rPr>
      </w:pPr>
      <w:r>
        <w:rPr>
          <w:rFonts w:ascii="黑体" w:hAnsi="黑体" w:eastAsia="黑体" w:cs="黑体"/>
          <w:sz w:val="44"/>
          <w:szCs w:val="44"/>
        </w:rPr>
        <w:br w:type="page"/>
      </w:r>
      <w:r>
        <w:rPr>
          <w:rFonts w:hint="eastAsia" w:ascii="黑体" w:hAnsi="黑体" w:eastAsia="黑体" w:cs="黑体"/>
          <w:bCs/>
          <w:sz w:val="44"/>
          <w:szCs w:val="44"/>
        </w:rPr>
        <w:t>目  录</w:t>
      </w:r>
    </w:p>
    <w:p>
      <w:pPr>
        <w:pStyle w:val="10"/>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TOC \o "1-2" \h \u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_Toc12262 </w:instrText>
      </w:r>
      <w:r>
        <w:rPr>
          <w:rFonts w:hint="eastAsia" w:ascii="仿宋" w:hAnsi="仿宋" w:eastAsia="仿宋" w:cs="仿宋"/>
          <w:bCs/>
          <w:sz w:val="28"/>
          <w:szCs w:val="28"/>
        </w:rPr>
        <w:fldChar w:fldCharType="separate"/>
      </w:r>
      <w:r>
        <w:rPr>
          <w:rFonts w:hint="eastAsia" w:ascii="仿宋" w:hAnsi="仿宋" w:eastAsia="仿宋" w:cs="仿宋"/>
          <w:sz w:val="28"/>
          <w:szCs w:val="28"/>
        </w:rPr>
        <w:t>一、专业定位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_Toc12262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_Toc17950 </w:instrText>
      </w:r>
      <w:r>
        <w:rPr>
          <w:rFonts w:hint="eastAsia" w:ascii="仿宋" w:hAnsi="仿宋" w:eastAsia="仿宋" w:cs="仿宋"/>
          <w:bCs/>
          <w:sz w:val="28"/>
          <w:szCs w:val="28"/>
        </w:rPr>
        <w:fldChar w:fldCharType="separate"/>
      </w:r>
      <w:r>
        <w:rPr>
          <w:rFonts w:hint="eastAsia" w:ascii="仿宋" w:hAnsi="仿宋" w:eastAsia="仿宋" w:cs="仿宋"/>
          <w:sz w:val="28"/>
          <w:szCs w:val="28"/>
        </w:rPr>
        <w:t>二、师资队伍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_Toc17950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_Toc11471 </w:instrText>
      </w:r>
      <w:r>
        <w:rPr>
          <w:rFonts w:hint="eastAsia" w:ascii="仿宋" w:hAnsi="仿宋" w:eastAsia="仿宋" w:cs="仿宋"/>
          <w:bCs/>
          <w:sz w:val="28"/>
          <w:szCs w:val="28"/>
        </w:rPr>
        <w:fldChar w:fldCharType="separate"/>
      </w:r>
      <w:r>
        <w:rPr>
          <w:rFonts w:hint="eastAsia" w:ascii="仿宋" w:hAnsi="仿宋" w:eastAsia="仿宋" w:cs="仿宋"/>
          <w:sz w:val="28"/>
          <w:szCs w:val="28"/>
        </w:rPr>
        <w:t>（一）师资结构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_Toc11471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_Toc8354 </w:instrText>
      </w:r>
      <w:r>
        <w:rPr>
          <w:rFonts w:hint="eastAsia" w:ascii="仿宋" w:hAnsi="仿宋" w:eastAsia="仿宋" w:cs="仿宋"/>
          <w:bCs/>
          <w:sz w:val="28"/>
          <w:szCs w:val="28"/>
        </w:rPr>
        <w:fldChar w:fldCharType="separate"/>
      </w: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）专业学科带头人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_Toc8354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_Toc8611 </w:instrText>
      </w:r>
      <w:r>
        <w:rPr>
          <w:rFonts w:hint="eastAsia" w:ascii="仿宋" w:hAnsi="仿宋" w:eastAsia="仿宋" w:cs="仿宋"/>
          <w:bCs/>
          <w:sz w:val="28"/>
          <w:szCs w:val="28"/>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教、科研水平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_Toc8611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_Toc19619 </w:instrText>
      </w:r>
      <w:r>
        <w:rPr>
          <w:rFonts w:hint="eastAsia" w:ascii="仿宋" w:hAnsi="仿宋" w:eastAsia="仿宋" w:cs="仿宋"/>
          <w:bCs/>
          <w:sz w:val="28"/>
          <w:szCs w:val="28"/>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rPr>
        <w:t>师资队伍建设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_Toc19619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_Toc14156 </w:instrText>
      </w:r>
      <w:r>
        <w:rPr>
          <w:rFonts w:hint="eastAsia" w:ascii="仿宋" w:hAnsi="仿宋" w:eastAsia="仿宋" w:cs="仿宋"/>
          <w:bCs/>
          <w:sz w:val="28"/>
          <w:szCs w:val="28"/>
        </w:rPr>
        <w:fldChar w:fldCharType="separate"/>
      </w:r>
      <w:r>
        <w:rPr>
          <w:rFonts w:hint="eastAsia" w:ascii="仿宋" w:hAnsi="仿宋" w:eastAsia="仿宋" w:cs="仿宋"/>
          <w:sz w:val="28"/>
          <w:szCs w:val="28"/>
        </w:rPr>
        <w:t>三、教学资源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_Toc14156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_Toc4928 </w:instrText>
      </w:r>
      <w:r>
        <w:rPr>
          <w:rFonts w:hint="eastAsia" w:ascii="仿宋" w:hAnsi="仿宋" w:eastAsia="仿宋" w:cs="仿宋"/>
          <w:bCs/>
          <w:sz w:val="28"/>
          <w:szCs w:val="28"/>
        </w:rPr>
        <w:fldChar w:fldCharType="separate"/>
      </w:r>
      <w:r>
        <w:rPr>
          <w:rFonts w:hint="eastAsia" w:ascii="仿宋" w:hAnsi="仿宋" w:eastAsia="仿宋" w:cs="仿宋"/>
          <w:sz w:val="28"/>
          <w:szCs w:val="28"/>
        </w:rPr>
        <w:t>（一）仪器设备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_Toc4928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_Toc20169 </w:instrText>
      </w:r>
      <w:r>
        <w:rPr>
          <w:rFonts w:hint="eastAsia" w:ascii="仿宋" w:hAnsi="仿宋" w:eastAsia="仿宋" w:cs="仿宋"/>
          <w:bCs/>
          <w:sz w:val="28"/>
          <w:szCs w:val="28"/>
        </w:rPr>
        <w:fldChar w:fldCharType="separate"/>
      </w:r>
      <w:r>
        <w:rPr>
          <w:rFonts w:hint="eastAsia" w:ascii="仿宋" w:hAnsi="仿宋" w:eastAsia="仿宋" w:cs="仿宋"/>
          <w:sz w:val="28"/>
          <w:szCs w:val="28"/>
        </w:rPr>
        <w:t>（二）图书资料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_Toc20169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_Toc1142 </w:instrText>
      </w:r>
      <w:r>
        <w:rPr>
          <w:rFonts w:hint="eastAsia" w:ascii="仿宋" w:hAnsi="仿宋" w:eastAsia="仿宋" w:cs="仿宋"/>
          <w:bCs/>
          <w:sz w:val="28"/>
          <w:szCs w:val="28"/>
        </w:rPr>
        <w:fldChar w:fldCharType="separate"/>
      </w:r>
      <w:r>
        <w:rPr>
          <w:rFonts w:hint="eastAsia" w:ascii="仿宋" w:hAnsi="仿宋" w:eastAsia="仿宋" w:cs="仿宋"/>
          <w:sz w:val="28"/>
          <w:szCs w:val="28"/>
        </w:rPr>
        <w:t>（三）实习实训基地建设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_Toc1142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_Toc26440 </w:instrText>
      </w:r>
      <w:r>
        <w:rPr>
          <w:rFonts w:hint="eastAsia" w:ascii="仿宋" w:hAnsi="仿宋" w:eastAsia="仿宋" w:cs="仿宋"/>
          <w:bCs/>
          <w:sz w:val="28"/>
          <w:szCs w:val="28"/>
        </w:rPr>
        <w:fldChar w:fldCharType="separate"/>
      </w:r>
      <w:r>
        <w:rPr>
          <w:rFonts w:hint="eastAsia" w:ascii="仿宋" w:hAnsi="仿宋" w:eastAsia="仿宋" w:cs="仿宋"/>
          <w:sz w:val="28"/>
          <w:szCs w:val="28"/>
        </w:rPr>
        <w:t>四、人才培养与教学改革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_Toc26440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_Toc15669 </w:instrText>
      </w:r>
      <w:r>
        <w:rPr>
          <w:rFonts w:hint="eastAsia" w:ascii="仿宋" w:hAnsi="仿宋" w:eastAsia="仿宋" w:cs="仿宋"/>
          <w:bCs/>
          <w:sz w:val="28"/>
          <w:szCs w:val="28"/>
        </w:rPr>
        <w:fldChar w:fldCharType="separate"/>
      </w:r>
      <w:r>
        <w:rPr>
          <w:rFonts w:hint="eastAsia" w:ascii="仿宋" w:hAnsi="仿宋" w:eastAsia="仿宋" w:cs="仿宋"/>
          <w:sz w:val="28"/>
          <w:szCs w:val="28"/>
        </w:rPr>
        <w:t>（一）人才培养目标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_Toc15669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_Toc25204 </w:instrText>
      </w:r>
      <w:r>
        <w:rPr>
          <w:rFonts w:hint="eastAsia" w:ascii="仿宋" w:hAnsi="仿宋" w:eastAsia="仿宋" w:cs="仿宋"/>
          <w:bCs/>
          <w:sz w:val="28"/>
          <w:szCs w:val="28"/>
        </w:rPr>
        <w:fldChar w:fldCharType="separate"/>
      </w:r>
      <w:r>
        <w:rPr>
          <w:rFonts w:hint="eastAsia" w:ascii="仿宋" w:hAnsi="仿宋" w:eastAsia="仿宋" w:cs="仿宋"/>
          <w:sz w:val="28"/>
          <w:szCs w:val="28"/>
        </w:rPr>
        <w:t>（二）毕业要求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_Toc25204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_Toc22288 </w:instrText>
      </w:r>
      <w:r>
        <w:rPr>
          <w:rFonts w:hint="eastAsia" w:ascii="仿宋" w:hAnsi="仿宋" w:eastAsia="仿宋" w:cs="仿宋"/>
          <w:bCs/>
          <w:sz w:val="28"/>
          <w:szCs w:val="28"/>
        </w:rPr>
        <w:fldChar w:fldCharType="separate"/>
      </w:r>
      <w:r>
        <w:rPr>
          <w:rFonts w:hint="eastAsia" w:ascii="仿宋" w:hAnsi="仿宋" w:eastAsia="仿宋" w:cs="仿宋"/>
          <w:sz w:val="28"/>
          <w:szCs w:val="28"/>
        </w:rPr>
        <w:t>（三）人才培养的中心地位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_Toc22288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_Toc32737 </w:instrText>
      </w:r>
      <w:r>
        <w:rPr>
          <w:rFonts w:hint="eastAsia" w:ascii="仿宋" w:hAnsi="仿宋" w:eastAsia="仿宋" w:cs="仿宋"/>
          <w:bCs/>
          <w:sz w:val="28"/>
          <w:szCs w:val="28"/>
        </w:rPr>
        <w:fldChar w:fldCharType="separate"/>
      </w:r>
      <w:r>
        <w:rPr>
          <w:rFonts w:hint="eastAsia" w:ascii="仿宋" w:hAnsi="仿宋" w:eastAsia="仿宋" w:cs="仿宋"/>
          <w:sz w:val="28"/>
          <w:szCs w:val="28"/>
        </w:rPr>
        <w:t>（四）教学改革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_Toc32737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_Toc5746 </w:instrText>
      </w:r>
      <w:r>
        <w:rPr>
          <w:rFonts w:hint="eastAsia" w:ascii="仿宋" w:hAnsi="仿宋" w:eastAsia="仿宋" w:cs="仿宋"/>
          <w:bCs/>
          <w:sz w:val="28"/>
          <w:szCs w:val="28"/>
        </w:rPr>
        <w:fldChar w:fldCharType="separate"/>
      </w:r>
      <w:r>
        <w:rPr>
          <w:rFonts w:hint="eastAsia" w:ascii="仿宋" w:hAnsi="仿宋" w:eastAsia="仿宋" w:cs="仿宋"/>
          <w:sz w:val="28"/>
          <w:szCs w:val="28"/>
        </w:rPr>
        <w:t>五、教学质量保障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_Toc5746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_Toc28902 </w:instrText>
      </w:r>
      <w:r>
        <w:rPr>
          <w:rFonts w:hint="eastAsia" w:ascii="仿宋" w:hAnsi="仿宋" w:eastAsia="仿宋" w:cs="仿宋"/>
          <w:bCs/>
          <w:sz w:val="28"/>
          <w:szCs w:val="28"/>
        </w:rPr>
        <w:fldChar w:fldCharType="separate"/>
      </w:r>
      <w:r>
        <w:rPr>
          <w:rFonts w:hint="eastAsia" w:ascii="仿宋" w:hAnsi="仿宋" w:eastAsia="仿宋" w:cs="仿宋"/>
          <w:sz w:val="28"/>
          <w:szCs w:val="28"/>
        </w:rPr>
        <w:t>（一）教学质量监控与评价体系建设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_Toc28902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_Toc21376 </w:instrText>
      </w:r>
      <w:r>
        <w:rPr>
          <w:rFonts w:hint="eastAsia" w:ascii="仿宋" w:hAnsi="仿宋" w:eastAsia="仿宋" w:cs="仿宋"/>
          <w:bCs/>
          <w:sz w:val="28"/>
          <w:szCs w:val="28"/>
        </w:rPr>
        <w:fldChar w:fldCharType="separate"/>
      </w:r>
      <w:r>
        <w:rPr>
          <w:rFonts w:hint="eastAsia" w:ascii="仿宋" w:hAnsi="仿宋" w:eastAsia="仿宋" w:cs="仿宋"/>
          <w:sz w:val="28"/>
          <w:szCs w:val="28"/>
        </w:rPr>
        <w:t>（二）教学规章制度建设与执行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_Toc21376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_Toc12414 </w:instrText>
      </w:r>
      <w:r>
        <w:rPr>
          <w:rFonts w:hint="eastAsia" w:ascii="仿宋" w:hAnsi="仿宋" w:eastAsia="仿宋" w:cs="仿宋"/>
          <w:bCs/>
          <w:sz w:val="28"/>
          <w:szCs w:val="28"/>
        </w:rPr>
        <w:fldChar w:fldCharType="separate"/>
      </w:r>
      <w:r>
        <w:rPr>
          <w:rFonts w:hint="eastAsia" w:ascii="仿宋" w:hAnsi="仿宋" w:eastAsia="仿宋" w:cs="仿宋"/>
          <w:sz w:val="28"/>
          <w:szCs w:val="28"/>
        </w:rPr>
        <w:t>（三）严格的管理制度，有序的工作流程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_Toc12414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_Toc15123 </w:instrText>
      </w:r>
      <w:r>
        <w:rPr>
          <w:rFonts w:hint="eastAsia" w:ascii="仿宋" w:hAnsi="仿宋" w:eastAsia="仿宋" w:cs="仿宋"/>
          <w:bCs/>
          <w:sz w:val="28"/>
          <w:szCs w:val="28"/>
        </w:rPr>
        <w:fldChar w:fldCharType="separate"/>
      </w:r>
      <w:r>
        <w:rPr>
          <w:rFonts w:hint="eastAsia" w:ascii="仿宋" w:hAnsi="仿宋" w:eastAsia="仿宋" w:cs="仿宋"/>
          <w:sz w:val="28"/>
          <w:szCs w:val="28"/>
        </w:rPr>
        <w:t>（四）教学质量监控与评价体系完善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_Toc15123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_Toc26328 </w:instrText>
      </w:r>
      <w:r>
        <w:rPr>
          <w:rFonts w:hint="eastAsia" w:ascii="仿宋" w:hAnsi="仿宋" w:eastAsia="仿宋" w:cs="仿宋"/>
          <w:bCs/>
          <w:sz w:val="28"/>
          <w:szCs w:val="28"/>
        </w:rPr>
        <w:fldChar w:fldCharType="separate"/>
      </w:r>
      <w:r>
        <w:rPr>
          <w:rFonts w:hint="eastAsia" w:ascii="仿宋" w:hAnsi="仿宋" w:eastAsia="仿宋" w:cs="仿宋"/>
          <w:sz w:val="28"/>
          <w:szCs w:val="28"/>
        </w:rPr>
        <w:t>（五）定期进行教学诊断</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_Toc26328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_Toc12395 </w:instrText>
      </w:r>
      <w:r>
        <w:rPr>
          <w:rFonts w:hint="eastAsia" w:ascii="仿宋" w:hAnsi="仿宋" w:eastAsia="仿宋" w:cs="仿宋"/>
          <w:bCs/>
          <w:sz w:val="28"/>
          <w:szCs w:val="28"/>
        </w:rPr>
        <w:fldChar w:fldCharType="separate"/>
      </w:r>
      <w:r>
        <w:rPr>
          <w:rFonts w:hint="eastAsia" w:ascii="仿宋" w:hAnsi="仿宋" w:eastAsia="仿宋" w:cs="仿宋"/>
          <w:sz w:val="28"/>
          <w:szCs w:val="28"/>
        </w:rPr>
        <w:t>六、应届毕业生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_Toc12395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_Toc7872 </w:instrText>
      </w:r>
      <w:r>
        <w:rPr>
          <w:rFonts w:hint="eastAsia" w:ascii="仿宋" w:hAnsi="仿宋" w:eastAsia="仿宋" w:cs="仿宋"/>
          <w:bCs/>
          <w:sz w:val="28"/>
          <w:szCs w:val="28"/>
        </w:rPr>
        <w:fldChar w:fldCharType="separate"/>
      </w:r>
      <w:r>
        <w:rPr>
          <w:rFonts w:hint="eastAsia" w:ascii="仿宋" w:hAnsi="仿宋" w:eastAsia="仿宋" w:cs="仿宋"/>
          <w:sz w:val="28"/>
          <w:szCs w:val="28"/>
        </w:rPr>
        <w:t>（一）实习、社会实践和毕业设计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_Toc7872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_Toc782 </w:instrText>
      </w:r>
      <w:r>
        <w:rPr>
          <w:rFonts w:hint="eastAsia" w:ascii="仿宋" w:hAnsi="仿宋" w:eastAsia="仿宋" w:cs="仿宋"/>
          <w:bCs/>
          <w:sz w:val="28"/>
          <w:szCs w:val="28"/>
        </w:rPr>
        <w:fldChar w:fldCharType="separate"/>
      </w:r>
      <w:r>
        <w:rPr>
          <w:rFonts w:hint="eastAsia" w:ascii="仿宋" w:hAnsi="仿宋" w:eastAsia="仿宋" w:cs="仿宋"/>
          <w:sz w:val="28"/>
          <w:szCs w:val="28"/>
        </w:rPr>
        <w:t>（二）学习效果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_Toc782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_Toc12113 </w:instrText>
      </w:r>
      <w:r>
        <w:rPr>
          <w:rFonts w:hint="eastAsia" w:ascii="仿宋" w:hAnsi="仿宋" w:eastAsia="仿宋" w:cs="仿宋"/>
          <w:bCs/>
          <w:sz w:val="28"/>
          <w:szCs w:val="28"/>
        </w:rPr>
        <w:fldChar w:fldCharType="separate"/>
      </w:r>
      <w:r>
        <w:rPr>
          <w:rFonts w:hint="eastAsia" w:ascii="仿宋" w:hAnsi="仿宋" w:eastAsia="仿宋" w:cs="仿宋"/>
          <w:sz w:val="28"/>
          <w:szCs w:val="28"/>
        </w:rPr>
        <w:t>（三）第二课堂丰富多彩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_Toc12113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_Toc19637 </w:instrText>
      </w:r>
      <w:r>
        <w:rPr>
          <w:rFonts w:hint="eastAsia" w:ascii="仿宋" w:hAnsi="仿宋" w:eastAsia="仿宋" w:cs="仿宋"/>
          <w:bCs/>
          <w:sz w:val="28"/>
          <w:szCs w:val="28"/>
        </w:rPr>
        <w:fldChar w:fldCharType="separate"/>
      </w:r>
      <w:r>
        <w:rPr>
          <w:rFonts w:hint="eastAsia" w:ascii="仿宋" w:hAnsi="仿宋" w:eastAsia="仿宋" w:cs="仿宋"/>
          <w:sz w:val="28"/>
          <w:szCs w:val="28"/>
        </w:rPr>
        <w:t>（四）创新创业教育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_Toc19637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_Toc9202 </w:instrText>
      </w:r>
      <w:r>
        <w:rPr>
          <w:rFonts w:hint="eastAsia" w:ascii="仿宋" w:hAnsi="仿宋" w:eastAsia="仿宋" w:cs="仿宋"/>
          <w:bCs/>
          <w:sz w:val="28"/>
          <w:szCs w:val="28"/>
        </w:rPr>
        <w:fldChar w:fldCharType="separate"/>
      </w:r>
      <w:r>
        <w:rPr>
          <w:rFonts w:hint="eastAsia" w:ascii="仿宋" w:hAnsi="仿宋" w:eastAsia="仿宋" w:cs="仿宋"/>
          <w:sz w:val="28"/>
          <w:szCs w:val="28"/>
        </w:rPr>
        <w:t>七、专业特色与优势</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_Toc9202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_Toc3630 </w:instrText>
      </w:r>
      <w:r>
        <w:rPr>
          <w:rFonts w:hint="eastAsia" w:ascii="仿宋" w:hAnsi="仿宋" w:eastAsia="仿宋" w:cs="仿宋"/>
          <w:bCs/>
          <w:sz w:val="28"/>
          <w:szCs w:val="28"/>
        </w:rPr>
        <w:fldChar w:fldCharType="separate"/>
      </w:r>
      <w:r>
        <w:rPr>
          <w:rFonts w:hint="eastAsia" w:ascii="仿宋" w:hAnsi="仿宋" w:eastAsia="仿宋" w:cs="仿宋"/>
          <w:sz w:val="28"/>
          <w:szCs w:val="28"/>
        </w:rPr>
        <w:t>（一）专业设置适应社会需求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_Toc3630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_Toc17681 </w:instrText>
      </w:r>
      <w:r>
        <w:rPr>
          <w:rFonts w:hint="eastAsia" w:ascii="仿宋" w:hAnsi="仿宋" w:eastAsia="仿宋" w:cs="仿宋"/>
          <w:bCs/>
          <w:sz w:val="28"/>
          <w:szCs w:val="28"/>
        </w:rPr>
        <w:fldChar w:fldCharType="separate"/>
      </w:r>
      <w:r>
        <w:rPr>
          <w:rFonts w:hint="eastAsia" w:ascii="仿宋" w:hAnsi="仿宋" w:eastAsia="仿宋" w:cs="仿宋"/>
          <w:sz w:val="28"/>
          <w:szCs w:val="28"/>
        </w:rPr>
        <w:t>（二）人才培养模式符合社会需求，专业建设有特色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_Toc17681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before="0" w:beforeAutospacing="0" w:after="0" w:afterAutospacing="0" w:line="240" w:lineRule="atLeast"/>
        <w:textAlignment w:val="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_Toc12111 </w:instrText>
      </w:r>
      <w:r>
        <w:rPr>
          <w:rFonts w:hint="eastAsia" w:ascii="仿宋" w:hAnsi="仿宋" w:eastAsia="仿宋" w:cs="仿宋"/>
          <w:bCs/>
          <w:sz w:val="28"/>
          <w:szCs w:val="28"/>
        </w:rPr>
        <w:fldChar w:fldCharType="separate"/>
      </w:r>
      <w:r>
        <w:rPr>
          <w:rFonts w:hint="eastAsia" w:ascii="仿宋" w:hAnsi="仿宋" w:eastAsia="仿宋" w:cs="仿宋"/>
          <w:sz w:val="28"/>
          <w:szCs w:val="28"/>
        </w:rPr>
        <w:t>（三）专业特色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_Toc12111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eastAsia" w:ascii="黑体" w:hAnsi="黑体" w:eastAsia="黑体" w:cs="黑体"/>
          <w:bCs/>
          <w:sz w:val="44"/>
          <w:szCs w:val="44"/>
        </w:rPr>
      </w:pPr>
      <w:r>
        <w:rPr>
          <w:rFonts w:hint="eastAsia" w:ascii="仿宋" w:hAnsi="仿宋" w:eastAsia="仿宋" w:cs="仿宋"/>
          <w:bCs/>
          <w:sz w:val="28"/>
          <w:szCs w:val="28"/>
        </w:rPr>
        <w:fldChar w:fldCharType="end"/>
      </w:r>
    </w:p>
    <w:p>
      <w:pPr>
        <w:adjustRightInd w:val="0"/>
        <w:snapToGrid w:val="0"/>
        <w:spacing w:before="0" w:beforeAutospacing="0" w:after="0" w:afterAutospacing="0"/>
        <w:jc w:val="center"/>
        <w:outlineLvl w:val="0"/>
        <w:rPr>
          <w:rFonts w:ascii="黑体" w:hAnsi="黑体" w:eastAsia="黑体" w:cs="黑体"/>
          <w:bCs/>
          <w:sz w:val="44"/>
          <w:szCs w:val="44"/>
        </w:rPr>
      </w:pPr>
    </w:p>
    <w:p>
      <w:pPr>
        <w:rPr>
          <w:rFonts w:ascii="黑体" w:hAnsi="黑体" w:eastAsia="黑体" w:cs="黑体"/>
          <w:sz w:val="44"/>
          <w:szCs w:val="44"/>
        </w:rPr>
      </w:pPr>
      <w:bookmarkStart w:id="0" w:name="_Toc21411"/>
    </w:p>
    <w:p>
      <w:pPr>
        <w:rPr>
          <w:rFonts w:ascii="黑体" w:hAnsi="黑体" w:eastAsia="黑体" w:cs="黑体"/>
          <w:sz w:val="44"/>
          <w:szCs w:val="44"/>
        </w:rPr>
        <w:sectPr>
          <w:footerReference r:id="rId3" w:type="default"/>
          <w:pgSz w:w="11906" w:h="16838"/>
          <w:pgMar w:top="1440" w:right="1800" w:bottom="1440" w:left="1800" w:header="851" w:footer="992" w:gutter="0"/>
          <w:pgNumType w:start="0"/>
          <w:cols w:space="425" w:num="1"/>
          <w:docGrid w:type="lines" w:linePitch="312" w:charSpace="0"/>
        </w:sectPr>
      </w:pPr>
    </w:p>
    <w:p>
      <w:pPr>
        <w:jc w:val="center"/>
        <w:rPr>
          <w:rFonts w:hint="eastAsia" w:ascii="楷体_GB2312" w:eastAsia="楷体_GB2312" w:cs="宋体"/>
          <w:b/>
          <w:sz w:val="44"/>
          <w:szCs w:val="44"/>
        </w:rPr>
      </w:pPr>
      <w:bookmarkStart w:id="1" w:name="_Toc390"/>
      <w:r>
        <w:rPr>
          <w:rFonts w:hint="eastAsia" w:ascii="楷体_GB2312" w:eastAsia="楷体_GB2312" w:cs="宋体"/>
          <w:b/>
          <w:sz w:val="44"/>
          <w:szCs w:val="44"/>
        </w:rPr>
        <w:t>俄语</w:t>
      </w:r>
      <w:bookmarkEnd w:id="0"/>
      <w:bookmarkEnd w:id="1"/>
      <w:r>
        <w:rPr>
          <w:rFonts w:hint="eastAsia" w:ascii="楷体_GB2312" w:eastAsia="楷体_GB2312" w:cs="宋体"/>
          <w:b/>
          <w:sz w:val="44"/>
          <w:szCs w:val="44"/>
        </w:rPr>
        <w:t>专业申请学士学位授予权</w:t>
      </w:r>
    </w:p>
    <w:p>
      <w:pPr>
        <w:jc w:val="center"/>
        <w:rPr>
          <w:rFonts w:ascii="楷体_GB2312" w:eastAsia="楷体_GB2312" w:cs="宋体"/>
          <w:b/>
          <w:sz w:val="44"/>
          <w:szCs w:val="44"/>
        </w:rPr>
      </w:pPr>
      <w:r>
        <w:rPr>
          <w:rFonts w:hint="eastAsia" w:ascii="楷体_GB2312" w:eastAsia="楷体_GB2312" w:cs="宋体"/>
          <w:b/>
          <w:sz w:val="44"/>
          <w:szCs w:val="44"/>
        </w:rPr>
        <w:t>自评报告</w:t>
      </w:r>
    </w:p>
    <w:p>
      <w:pPr>
        <w:adjustRightInd w:val="0"/>
        <w:snapToGrid w:val="0"/>
        <w:spacing w:before="0" w:beforeAutospacing="0" w:after="0" w:afterAutospacing="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黑龙江工业学院俄语专业于2016年经黑龙江省教育厅批准，开始招收四年制本科学生。现有16、17、18、19四个年级，目前共有12个教学班，在校生289人，专业教师15人（其中包含3名外籍教师）。</w:t>
      </w:r>
    </w:p>
    <w:p>
      <w:pPr>
        <w:adjustRightInd w:val="0"/>
        <w:snapToGrid w:val="0"/>
        <w:spacing w:before="0" w:beforeAutospacing="0" w:after="0" w:afterAutospacing="0" w:line="360" w:lineRule="auto"/>
        <w:ind w:firstLine="560" w:firstLineChars="200"/>
        <w:rPr>
          <w:rFonts w:cs="仿宋_GB2312" w:asciiTheme="minorEastAsia" w:hAnsiTheme="minorEastAsia" w:eastAsiaTheme="minorEastAsia"/>
          <w:kern w:val="0"/>
          <w:sz w:val="28"/>
          <w:szCs w:val="28"/>
        </w:rPr>
      </w:pPr>
      <w:r>
        <w:rPr>
          <w:rFonts w:hint="eastAsia" w:asciiTheme="minorEastAsia" w:hAnsiTheme="minorEastAsia" w:eastAsiaTheme="minorEastAsia"/>
          <w:sz w:val="28"/>
          <w:szCs w:val="28"/>
        </w:rPr>
        <w:t>俄语专业自开始招收本科生以来，校领导高度重视新专业的建设工作，不断加大投入力度，完善办学条件。我们秉承“修德修能，成人成事”的办学理念，以立德树人为根本，按照学校“1146”总体思路，以培养具有较高俄语语言综合运用能力的复合型、高素质人才为核心，以学科建设和课程建设为重点，</w:t>
      </w:r>
      <w:r>
        <w:rPr>
          <w:rFonts w:hint="eastAsia" w:asciiTheme="minorEastAsia" w:hAnsiTheme="minorEastAsia" w:eastAsiaTheme="minorEastAsia"/>
          <w:bCs/>
          <w:sz w:val="28"/>
          <w:szCs w:val="28"/>
        </w:rPr>
        <w:t>持续推进教育教学改革和师德师风建设，强化基础理论</w:t>
      </w:r>
      <w:r>
        <w:rPr>
          <w:rFonts w:hint="eastAsia" w:cs="仿宋_GB2312" w:asciiTheme="minorEastAsia" w:hAnsiTheme="minorEastAsia" w:eastAsiaTheme="minorEastAsia"/>
          <w:kern w:val="0"/>
          <w:sz w:val="28"/>
          <w:szCs w:val="28"/>
        </w:rPr>
        <w:t>教学和专业实践，不断提高教学质量，在应用型人才培养方面取得很大进步。</w:t>
      </w:r>
    </w:p>
    <w:p>
      <w:pPr>
        <w:adjustRightInd w:val="0"/>
        <w:snapToGrid w:val="0"/>
        <w:spacing w:before="0" w:beforeAutospacing="0" w:after="0" w:afterAutospacing="0" w:line="360" w:lineRule="auto"/>
        <w:ind w:firstLine="560" w:firstLineChars="200"/>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根据《中华人民共和国学位条例》、《关于进一步改进学士学位授权审核工作的通知》，依照《黑龙江省高等学校申请新增学士学位授予专业评审指标体系》，经过全面认真的自评，认为俄语专业在专业定位、师资队伍、教学资源、人才培养与教学改革、教学质量保障、应届毕业生情况和专业特色与优势等七个方面均符合黑龙江省学士学位授予权的基本条件，现将自评情况汇报如下：</w:t>
      </w:r>
    </w:p>
    <w:p>
      <w:pPr>
        <w:adjustRightInd w:val="0"/>
        <w:snapToGrid w:val="0"/>
        <w:spacing w:before="0" w:beforeAutospacing="0" w:after="0" w:afterAutospacing="0" w:line="360" w:lineRule="auto"/>
        <w:ind w:firstLine="640" w:firstLineChars="200"/>
        <w:outlineLvl w:val="0"/>
        <w:rPr>
          <w:rFonts w:ascii="黑体" w:hAnsi="黑体" w:eastAsia="黑体"/>
          <w:bCs/>
          <w:color w:val="000000" w:themeColor="text1"/>
          <w:sz w:val="32"/>
          <w:szCs w:val="32"/>
          <w14:textFill>
            <w14:solidFill>
              <w14:schemeClr w14:val="tx1"/>
            </w14:solidFill>
          </w14:textFill>
        </w:rPr>
      </w:pPr>
      <w:bookmarkStart w:id="2" w:name="_Toc13454"/>
      <w:bookmarkStart w:id="3" w:name="_Toc18305"/>
      <w:bookmarkStart w:id="4" w:name="_Toc28559"/>
      <w:bookmarkStart w:id="5" w:name="_Toc12262"/>
      <w:r>
        <w:rPr>
          <w:rStyle w:val="21"/>
          <w:rFonts w:hint="eastAsia"/>
          <w:color w:val="000000" w:themeColor="text1"/>
          <w14:textFill>
            <w14:solidFill>
              <w14:schemeClr w14:val="tx1"/>
            </w14:solidFill>
          </w14:textFill>
        </w:rPr>
        <w:t>一、专业定位</w:t>
      </w:r>
      <w:bookmarkEnd w:id="2"/>
      <w:bookmarkEnd w:id="3"/>
      <w:bookmarkEnd w:id="4"/>
      <w:bookmarkEnd w:id="5"/>
    </w:p>
    <w:p>
      <w:pPr>
        <w:adjustRightInd w:val="0"/>
        <w:snapToGrid w:val="0"/>
        <w:spacing w:before="0" w:beforeAutospacing="0" w:after="0" w:afterAutospacing="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themeColor="text1"/>
          <w:sz w:val="28"/>
          <w:szCs w:val="28"/>
          <w14:textFill>
            <w14:solidFill>
              <w14:schemeClr w14:val="tx1"/>
            </w14:solidFill>
          </w14:textFill>
        </w:rPr>
        <w:t>“俄语+应用”专业定位。让学生既要掌握俄语语言知识与语言基本技能，又要把俄语作为一种交流工具，熟练运用到国际贸易、电子商务、旅游、教育、科研等领域中去。主要强调语言的运用能力，</w:t>
      </w:r>
      <w:r>
        <w:rPr>
          <w:rFonts w:hint="eastAsia" w:asciiTheme="minorEastAsia" w:hAnsiTheme="minorEastAsia" w:eastAsiaTheme="minorEastAsia"/>
          <w:sz w:val="28"/>
          <w:szCs w:val="28"/>
        </w:rPr>
        <w:t>培养应用型人才。以产业和社会需求为导向，坚持应用型人才培养，注重实践能力培养的教育理念，强调知识如何运用的重要性，确立了应用型俄语人才培养目标。</w:t>
      </w:r>
    </w:p>
    <w:p>
      <w:pPr>
        <w:adjustRightInd w:val="0"/>
        <w:snapToGrid w:val="0"/>
        <w:spacing w:before="0" w:beforeAutospacing="0" w:after="0" w:afterAutospacing="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适应经济社会发展需求。2016年3月，我校俄语专业通过教育部新增本科专业备案。随着国家“一带一路”发展战略的逐步推进，我国与俄罗斯及中亚国家的贸易已经迎来快速发展的新时期，国家对俄语人才的需求量和俄语需求领域的数量将稳步上升。</w:t>
      </w:r>
    </w:p>
    <w:p>
      <w:pPr>
        <w:adjustRightInd w:val="0"/>
        <w:snapToGrid w:val="0"/>
        <w:spacing w:before="0" w:beforeAutospacing="0" w:after="0" w:afterAutospacing="0" w:line="36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sz w:val="28"/>
          <w:szCs w:val="28"/>
        </w:rPr>
        <w:t>顺应国家发展战略。根据“振兴东北老工业基地”总体战略部署，俄语专业发展，符合国家战略和</w:t>
      </w:r>
      <w:r>
        <w:rPr>
          <w:rFonts w:hint="eastAsia" w:asciiTheme="minorEastAsia" w:hAnsiTheme="minorEastAsia" w:eastAsiaTheme="minorEastAsia"/>
          <w:color w:val="000000" w:themeColor="text1"/>
          <w:sz w:val="28"/>
          <w:szCs w:val="28"/>
          <w14:textFill>
            <w14:solidFill>
              <w14:schemeClr w14:val="tx1"/>
            </w14:solidFill>
          </w14:textFill>
        </w:rPr>
        <w:t>经济建设发展的需要；符合黑龙江省对俄经贸人才培养基地建设的需要；</w:t>
      </w:r>
    </w:p>
    <w:p>
      <w:pPr>
        <w:adjustRightInd w:val="0"/>
        <w:snapToGrid w:val="0"/>
        <w:spacing w:before="0" w:beforeAutospacing="0" w:after="0" w:afterAutospacing="0" w:line="360" w:lineRule="auto"/>
        <w:ind w:firstLine="560" w:firstLineChars="200"/>
      </w:pPr>
      <w:r>
        <w:rPr>
          <w:rFonts w:hint="eastAsia" w:asciiTheme="minorEastAsia" w:hAnsiTheme="minorEastAsia" w:eastAsiaTheme="minorEastAsia"/>
          <w:color w:val="000000" w:themeColor="text1"/>
          <w:sz w:val="28"/>
          <w:szCs w:val="28"/>
          <w14:textFill>
            <w14:solidFill>
              <w14:schemeClr w14:val="tx1"/>
            </w14:solidFill>
          </w14:textFill>
        </w:rPr>
        <w:t>推动我校综合发展。</w:t>
      </w:r>
      <w:r>
        <w:rPr>
          <w:rFonts w:hint="eastAsia" w:asciiTheme="minorEastAsia" w:hAnsiTheme="minorEastAsia" w:eastAsiaTheme="minorEastAsia"/>
          <w:sz w:val="28"/>
          <w:szCs w:val="28"/>
        </w:rPr>
        <w:t>俄语专业缘于濒俄地缘优势，始终致力于发展中俄国际文化交流，曾先后与多所俄罗斯高校建立了沟通和联系，同时加强与俄罗斯高校在教师培训、互派留学生、建立短期实习基地等方面的合作，注重培养学生的国际视野、外语应用能力和跨文化交际能力，进一步培养出能够直接参与国际合作与国际竞争的应用型、创新型人才，培养出能够走向国际、走向世界的高素质复合应用型俄语人才。</w:t>
      </w:r>
      <w:r>
        <w:rPr>
          <w:rFonts w:hint="eastAsia" w:asciiTheme="minorEastAsia" w:hAnsiTheme="minorEastAsia" w:eastAsiaTheme="minorEastAsia"/>
          <w:color w:val="000000" w:themeColor="text1"/>
          <w:sz w:val="28"/>
          <w:szCs w:val="28"/>
          <w14:textFill>
            <w14:solidFill>
              <w14:schemeClr w14:val="tx1"/>
            </w14:solidFill>
          </w14:textFill>
        </w:rPr>
        <w:t>符合我校“1146”总体发展要求，同时也拓展我校国际化人才培养的视野，完善了我</w:t>
      </w:r>
      <w:r>
        <w:rPr>
          <w:rFonts w:hint="eastAsia" w:asciiTheme="minorEastAsia" w:hAnsiTheme="minorEastAsia" w:eastAsiaTheme="minorEastAsia"/>
          <w:sz w:val="28"/>
          <w:szCs w:val="28"/>
        </w:rPr>
        <w:t>校的学科结构和内涵建设。</w:t>
      </w:r>
    </w:p>
    <w:p>
      <w:pPr>
        <w:pStyle w:val="2"/>
        <w:adjustRightInd w:val="0"/>
        <w:snapToGrid w:val="0"/>
        <w:spacing w:line="360" w:lineRule="auto"/>
        <w:ind w:firstLine="640"/>
      </w:pPr>
      <w:bookmarkStart w:id="6" w:name="_Toc14966"/>
      <w:bookmarkStart w:id="7" w:name="_Toc3796"/>
      <w:bookmarkStart w:id="8" w:name="_Toc6676"/>
      <w:bookmarkStart w:id="9" w:name="_Toc17950"/>
      <w:r>
        <w:rPr>
          <w:rFonts w:hint="eastAsia"/>
        </w:rPr>
        <w:t>二、师资队伍</w:t>
      </w:r>
      <w:bookmarkEnd w:id="6"/>
      <w:bookmarkEnd w:id="7"/>
      <w:bookmarkEnd w:id="8"/>
      <w:bookmarkEnd w:id="9"/>
    </w:p>
    <w:p>
      <w:pPr>
        <w:pStyle w:val="3"/>
        <w:spacing w:line="360" w:lineRule="auto"/>
        <w:ind w:firstLine="560"/>
      </w:pPr>
      <w:bookmarkStart w:id="10" w:name="_Toc17529"/>
      <w:bookmarkStart w:id="11" w:name="_Toc1493"/>
      <w:bookmarkStart w:id="12" w:name="_Toc25329"/>
      <w:bookmarkStart w:id="13" w:name="_Toc11471"/>
      <w:r>
        <w:rPr>
          <w:rFonts w:hint="eastAsia"/>
        </w:rPr>
        <w:t>（一）师资结构</w:t>
      </w:r>
      <w:bookmarkEnd w:id="10"/>
      <w:bookmarkEnd w:id="11"/>
      <w:bookmarkEnd w:id="12"/>
      <w:bookmarkEnd w:id="13"/>
    </w:p>
    <w:p>
      <w:pPr>
        <w:adjustRightInd w:val="0"/>
        <w:snapToGrid w:val="0"/>
        <w:spacing w:before="0" w:beforeAutospacing="0" w:after="0" w:afterAutospacing="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俄语专业拥有一支以中青年教师为主、结构合理、学术水平较高的高素质教学团队。曾发表具有国内外学术影响力的论文百余篇，主持并参与多项国家级、省市级科研课题，多次指导学生参加国际、国家级、省级的俄语大赛，并获得优异成绩。</w:t>
      </w:r>
    </w:p>
    <w:p>
      <w:pPr>
        <w:adjustRightInd w:val="0"/>
        <w:snapToGrid w:val="0"/>
        <w:spacing w:before="0" w:beforeAutospacing="0" w:after="0" w:afterAutospacing="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俄语专业现有任课教师15人，其中副教授4人，讲师5人，助教3人，外籍教师3人，获得博士学位的</w:t>
      </w:r>
      <w:r>
        <w:rPr>
          <w:rFonts w:hint="eastAsia" w:asciiTheme="minorEastAsia" w:hAnsiTheme="minorEastAsia" w:eastAsiaTheme="minorEastAsia"/>
          <w:color w:val="000000" w:themeColor="text1"/>
          <w:sz w:val="28"/>
          <w:szCs w:val="28"/>
          <w14:textFill>
            <w14:solidFill>
              <w14:schemeClr w14:val="tx1"/>
            </w14:solidFill>
          </w14:textFill>
        </w:rPr>
        <w:t>教师1</w:t>
      </w:r>
      <w:r>
        <w:rPr>
          <w:rFonts w:hint="eastAsia" w:asciiTheme="minorEastAsia" w:hAnsiTheme="minorEastAsia" w:eastAsiaTheme="minorEastAsia"/>
          <w:sz w:val="28"/>
          <w:szCs w:val="28"/>
        </w:rPr>
        <w:t>人，硕士学位14人。此外，常年聘请2-3位俄罗斯专家在校参与教学任务。</w:t>
      </w:r>
    </w:p>
    <w:p>
      <w:pPr>
        <w:pStyle w:val="4"/>
        <w:numPr>
          <w:ilvl w:val="0"/>
          <w:numId w:val="1"/>
        </w:numPr>
        <w:spacing w:line="360" w:lineRule="auto"/>
        <w:ind w:firstLine="562"/>
      </w:pPr>
      <w:bookmarkStart w:id="14" w:name="_Toc27866"/>
      <w:bookmarkStart w:id="15" w:name="_Toc652"/>
      <w:r>
        <w:rPr>
          <w:rFonts w:hint="eastAsia"/>
        </w:rPr>
        <w:t>学历结构</w:t>
      </w:r>
      <w:bookmarkEnd w:id="14"/>
      <w:bookmarkEnd w:id="15"/>
    </w:p>
    <w:p>
      <w:pPr>
        <w:adjustRightInd w:val="0"/>
        <w:snapToGrid w:val="0"/>
        <w:spacing w:before="0" w:beforeAutospacing="0" w:after="0" w:afterAutospacing="0" w:line="360" w:lineRule="auto"/>
        <w:ind w:firstLine="560" w:firstLineChars="200"/>
        <w:rPr>
          <w:rFonts w:asciiTheme="minorEastAsia" w:hAnsiTheme="minorEastAsia" w:eastAsiaTheme="minorEastAsia"/>
          <w:sz w:val="28"/>
          <w:szCs w:val="28"/>
        </w:rPr>
      </w:pPr>
      <w:bookmarkStart w:id="16" w:name="_Toc30916"/>
      <w:r>
        <w:rPr>
          <w:rFonts w:hint="eastAsia" w:asciiTheme="minorEastAsia" w:hAnsiTheme="minorEastAsia" w:eastAsiaTheme="minorEastAsia"/>
          <w:sz w:val="28"/>
          <w:szCs w:val="28"/>
        </w:rPr>
        <w:t>具有博士学位的教师1人，占教师总数的7%，硕士学位</w:t>
      </w:r>
      <w:r>
        <w:rPr>
          <w:rFonts w:hint="eastAsia" w:asciiTheme="minorEastAsia" w:hAnsiTheme="minorEastAsia" w:eastAsiaTheme="minorEastAsia"/>
          <w:color w:val="000000" w:themeColor="text1"/>
          <w:sz w:val="28"/>
          <w:szCs w:val="28"/>
          <w14:textFill>
            <w14:solidFill>
              <w14:schemeClr w14:val="tx1"/>
            </w14:solidFill>
          </w14:textFill>
        </w:rPr>
        <w:t>教师14</w:t>
      </w:r>
      <w:r>
        <w:rPr>
          <w:rFonts w:hint="eastAsia" w:asciiTheme="minorEastAsia" w:hAnsiTheme="minorEastAsia" w:eastAsiaTheme="minorEastAsia"/>
          <w:sz w:val="28"/>
          <w:szCs w:val="28"/>
        </w:rPr>
        <w:t>人，占教师总数的93%；所有俄语教师100%具有硕士学位，完成了青年教师硕士化工程。学历层次高，可以满足俄语专业教育、教学要求。</w:t>
      </w:r>
      <w:bookmarkEnd w:id="16"/>
    </w:p>
    <w:p>
      <w:pPr>
        <w:adjustRightInd w:val="0"/>
        <w:snapToGrid w:val="0"/>
        <w:spacing w:before="0" w:beforeAutospacing="0" w:after="0" w:afterAutospacing="0" w:line="360" w:lineRule="auto"/>
        <w:ind w:firstLine="560" w:firstLineChars="20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drawing>
          <wp:inline distT="0" distB="0" distL="114300" distR="114300">
            <wp:extent cx="3929380" cy="2301875"/>
            <wp:effectExtent l="4445" t="4445" r="13335" b="1016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4"/>
        <w:bidi w:val="0"/>
      </w:pPr>
      <w:bookmarkStart w:id="17" w:name="_Toc32008"/>
      <w:bookmarkStart w:id="18" w:name="_Toc12774"/>
      <w:r>
        <w:rPr>
          <w:rFonts w:hint="eastAsia"/>
          <w:lang w:val="en-US" w:eastAsia="zh-CN"/>
        </w:rPr>
        <w:t>2.</w:t>
      </w:r>
      <w:r>
        <w:rPr>
          <w:rFonts w:hint="eastAsia"/>
        </w:rPr>
        <w:t>学缘结构</w:t>
      </w:r>
      <w:bookmarkEnd w:id="17"/>
      <w:bookmarkEnd w:id="18"/>
    </w:p>
    <w:p>
      <w:pPr>
        <w:adjustRightInd w:val="0"/>
        <w:snapToGrid w:val="0"/>
        <w:spacing w:before="0" w:beforeAutospacing="0" w:after="0" w:afterAutospacing="0" w:line="36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sz w:val="28"/>
          <w:szCs w:val="28"/>
        </w:rPr>
        <w:t>15名任课教师分别来自于俄罗斯远东联邦大学、白俄罗斯戈梅利国立大学、黑龙江大学</w:t>
      </w:r>
      <w:r>
        <w:rPr>
          <w:rFonts w:hint="eastAsia" w:asciiTheme="minorEastAsia" w:hAnsiTheme="minorEastAsia" w:eastAsiaTheme="minorEastAsia"/>
          <w:color w:val="000000" w:themeColor="text1"/>
          <w:sz w:val="28"/>
          <w:szCs w:val="28"/>
          <w14:textFill>
            <w14:solidFill>
              <w14:schemeClr w14:val="tx1"/>
            </w14:solidFill>
          </w14:textFill>
        </w:rPr>
        <w:t>、吉林大学、哈尔滨师范大学、齐齐哈尔大学、牡丹江师范学院等国内外知名院校。教师的专业有俄语语言学、俄语语言与文学、俄语、俄国史等，研究方向有俄语语言学、俄语教学法、俄罗斯文学、俄语翻译学、外国语言学及应用语言学等，学缘结构良好。</w:t>
      </w:r>
      <w:bookmarkStart w:id="19" w:name="_Toc18788"/>
      <w:bookmarkStart w:id="20" w:name="_Toc17158"/>
    </w:p>
    <w:p>
      <w:pPr>
        <w:pStyle w:val="4"/>
        <w:bidi w:val="0"/>
      </w:pPr>
      <w:r>
        <w:rPr>
          <w:rFonts w:hint="eastAsia"/>
          <w:lang w:val="en-US" w:eastAsia="zh-CN"/>
        </w:rPr>
        <w:t>3.</w:t>
      </w:r>
      <w:r>
        <w:rPr>
          <w:rFonts w:hint="eastAsia"/>
        </w:rPr>
        <w:t>职称结构</w:t>
      </w:r>
      <w:bookmarkEnd w:id="19"/>
      <w:bookmarkEnd w:id="20"/>
    </w:p>
    <w:p>
      <w:pPr>
        <w:adjustRightInd w:val="0"/>
        <w:snapToGrid w:val="0"/>
        <w:spacing w:before="0" w:beforeAutospacing="0" w:after="0" w:afterAutospacing="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现有专兼任教师12人，外籍教师3人。专任教师中，副教授4人，占教师总数33%；讲师5人，占教师总数的42%，助教3人，占教师总数的25%。</w:t>
      </w:r>
    </w:p>
    <w:p>
      <w:pPr>
        <w:tabs>
          <w:tab w:val="left" w:pos="2493"/>
          <w:tab w:val="center" w:pos="4493"/>
        </w:tabs>
        <w:adjustRightInd w:val="0"/>
        <w:snapToGrid w:val="0"/>
        <w:spacing w:before="0" w:beforeAutospacing="0" w:after="0" w:afterAutospacing="0" w:line="360" w:lineRule="auto"/>
        <w:jc w:val="center"/>
        <w:rPr>
          <w:rFonts w:asciiTheme="minorEastAsia" w:hAnsiTheme="minorEastAsia" w:eastAsiaTheme="minorEastAsia"/>
          <w:sz w:val="28"/>
          <w:szCs w:val="28"/>
        </w:rPr>
      </w:pPr>
      <w:r>
        <w:rPr>
          <w:rFonts w:hint="eastAsia" w:asciiTheme="minorEastAsia" w:hAnsiTheme="minorEastAsia" w:eastAsiaTheme="minorEastAsia"/>
          <w:bCs/>
          <w:sz w:val="28"/>
          <w:szCs w:val="28"/>
        </w:rPr>
        <w:drawing>
          <wp:inline distT="0" distB="0" distL="114300" distR="114300">
            <wp:extent cx="3171190" cy="2065020"/>
            <wp:effectExtent l="4445" t="5080" r="12065" b="1270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4"/>
        <w:numPr>
          <w:ilvl w:val="0"/>
          <w:numId w:val="2"/>
        </w:numPr>
        <w:bidi w:val="0"/>
      </w:pPr>
      <w:bookmarkStart w:id="21" w:name="_Toc9543"/>
      <w:bookmarkStart w:id="22" w:name="_Toc17161"/>
      <w:r>
        <w:rPr>
          <w:rFonts w:hint="eastAsia"/>
        </w:rPr>
        <w:t>年龄结构</w:t>
      </w:r>
      <w:bookmarkEnd w:id="21"/>
      <w:bookmarkEnd w:id="22"/>
    </w:p>
    <w:p>
      <w:pPr>
        <w:adjustRightInd w:val="0"/>
        <w:snapToGrid w:val="0"/>
        <w:spacing w:before="0" w:beforeAutospacing="0" w:after="0" w:afterAutospacing="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俄语专业拥有一支中青年教师队伍，专业教师中，35-50岁教师10人，占教师总数的67%；35岁以下5人，占教师总数的33%。他们是专业发展的主力军和主备力量，这些教师有着丰富的实践教学经验</w:t>
      </w:r>
      <w:r>
        <w:rPr>
          <w:rFonts w:hint="eastAsia" w:asciiTheme="minorEastAsia" w:hAnsiTheme="minorEastAsia" w:eastAsiaTheme="minorEastAsia"/>
          <w:color w:val="000000" w:themeColor="text1"/>
          <w:sz w:val="28"/>
          <w:szCs w:val="28"/>
          <w14:textFill>
            <w14:solidFill>
              <w14:schemeClr w14:val="tx1"/>
            </w14:solidFill>
          </w14:textFill>
        </w:rPr>
        <w:t>和较强的科研能力。教师年龄结</w:t>
      </w:r>
      <w:r>
        <w:rPr>
          <w:rFonts w:hint="eastAsia" w:asciiTheme="minorEastAsia" w:hAnsiTheme="minorEastAsia" w:eastAsiaTheme="minorEastAsia"/>
          <w:sz w:val="28"/>
          <w:szCs w:val="28"/>
        </w:rPr>
        <w:t>构较为合理，形成良好的师资梯队。</w:t>
      </w:r>
    </w:p>
    <w:p>
      <w:pPr>
        <w:adjustRightInd w:val="0"/>
        <w:snapToGrid w:val="0"/>
        <w:spacing w:before="0" w:beforeAutospacing="0" w:after="0" w:afterAutospacing="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俄语专业自2016年开始招收本科生以来，教师队伍建设有了长足的进步，教师队伍进一步优化，已经形成一支年龄、学历、职称、学缘结构都比较合理，学科研究方向明确、发展潜力大、专业素质高的教师队伍。</w:t>
      </w:r>
    </w:p>
    <w:p>
      <w:pPr>
        <w:pStyle w:val="3"/>
        <w:bidi w:val="0"/>
        <w:rPr>
          <w:rFonts w:hint="eastAsia" w:ascii="黑体" w:hAnsi="黑体" w:eastAsia="黑体" w:cs="黑体"/>
          <w:b w:val="0"/>
          <w:bCs w:val="0"/>
          <w:szCs w:val="28"/>
        </w:rPr>
      </w:pPr>
      <w:bookmarkStart w:id="23" w:name="_Toc8354"/>
      <w:bookmarkStart w:id="24" w:name="_Toc10602"/>
      <w:bookmarkStart w:id="25" w:name="_Toc13835"/>
      <w:r>
        <w:rPr>
          <w:rFonts w:hint="eastAsia"/>
        </w:rPr>
        <w:t>（</w:t>
      </w:r>
      <w:r>
        <w:rPr>
          <w:rFonts w:hint="eastAsia"/>
          <w:lang w:val="en-US" w:eastAsia="zh-CN"/>
        </w:rPr>
        <w:t>二</w:t>
      </w:r>
      <w:r>
        <w:rPr>
          <w:rFonts w:hint="eastAsia"/>
        </w:rPr>
        <w:t>）专业学科带头人</w:t>
      </w:r>
      <w:bookmarkEnd w:id="23"/>
      <w:bookmarkEnd w:id="24"/>
      <w:bookmarkEnd w:id="25"/>
    </w:p>
    <w:p>
      <w:pPr>
        <w:adjustRightInd w:val="0"/>
        <w:snapToGrid w:val="0"/>
        <w:spacing w:before="0" w:beforeAutospacing="0" w:after="0" w:afterAutospacing="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王维维同志，2002年7月毕业于白俄罗斯戈梅利国立大学俄罗斯语言与文学专业，硕士研究生，副教授，国家留学基金委公派俄罗斯普希金学院访问学者，教育部职业院校外语类指导委员，俄语分会委员，黑龙江俄语学会理事，13年省级师德师风先进个人，校级优秀教育教学督导员，校级先进个人，优秀共产党员。在教学科研方面有着极其丰富的经验，有能力也有热情带领</w:t>
      </w:r>
      <w:r>
        <w:rPr>
          <w:rFonts w:hint="eastAsia" w:asciiTheme="minorEastAsia" w:hAnsiTheme="minorEastAsia" w:eastAsiaTheme="minorEastAsia"/>
          <w:sz w:val="28"/>
          <w:szCs w:val="28"/>
          <w:lang w:val="en-US" w:eastAsia="zh-CN"/>
        </w:rPr>
        <w:t>国际教育学院</w:t>
      </w:r>
      <w:r>
        <w:rPr>
          <w:rFonts w:hint="eastAsia" w:asciiTheme="minorEastAsia" w:hAnsiTheme="minorEastAsia" w:eastAsiaTheme="minorEastAsia"/>
          <w:sz w:val="28"/>
          <w:szCs w:val="28"/>
        </w:rPr>
        <w:t>俄语学科走向新高峰。</w:t>
      </w:r>
    </w:p>
    <w:p>
      <w:pPr>
        <w:adjustRightInd w:val="0"/>
        <w:snapToGrid w:val="0"/>
        <w:spacing w:before="0" w:beforeAutospacing="0" w:after="0" w:afterAutospacing="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王维维老师一直在教学一线上承担教学工作，曾主讲过：《俄语精读》、《俄语语音与朗读》、《俄语视听说》《俄语阅读》、《俄罗斯国情》等课程。同时，</w:t>
      </w:r>
      <w:r>
        <w:rPr>
          <w:rFonts w:hint="eastAsia" w:asciiTheme="minorEastAsia" w:hAnsiTheme="minorEastAsia" w:eastAsiaTheme="minorEastAsia"/>
          <w:color w:val="000000" w:themeColor="text1"/>
          <w:sz w:val="28"/>
          <w:szCs w:val="28"/>
          <w14:textFill>
            <w14:solidFill>
              <w14:schemeClr w14:val="tx1"/>
            </w14:solidFill>
          </w14:textFill>
        </w:rPr>
        <w:t>该同志承担了多项科研项目，近年来完成（包括学术论文在内）共20余篇著作，完成国</w:t>
      </w:r>
      <w:r>
        <w:rPr>
          <w:rFonts w:hint="eastAsia" w:asciiTheme="minorEastAsia" w:hAnsiTheme="minorEastAsia" w:eastAsiaTheme="minorEastAsia"/>
          <w:sz w:val="28"/>
          <w:szCs w:val="28"/>
        </w:rPr>
        <w:t>内外重要科研项目10余项。</w:t>
      </w:r>
    </w:p>
    <w:p>
      <w:pPr>
        <w:pStyle w:val="3"/>
        <w:bidi w:val="0"/>
        <w:rPr>
          <w:rFonts w:hint="eastAsia"/>
        </w:rPr>
      </w:pPr>
      <w:bookmarkStart w:id="26" w:name="_Toc1422"/>
      <w:bookmarkStart w:id="27" w:name="_Toc8611"/>
      <w:bookmarkStart w:id="28" w:name="_Toc7252"/>
      <w:r>
        <w:rPr>
          <w:rFonts w:hint="eastAsia"/>
          <w:lang w:eastAsia="zh-CN"/>
        </w:rPr>
        <w:t>（</w:t>
      </w:r>
      <w:r>
        <w:rPr>
          <w:rFonts w:hint="eastAsia"/>
          <w:lang w:val="en-US" w:eastAsia="zh-CN"/>
        </w:rPr>
        <w:t>三</w:t>
      </w:r>
      <w:r>
        <w:rPr>
          <w:rFonts w:hint="eastAsia"/>
          <w:lang w:eastAsia="zh-CN"/>
        </w:rPr>
        <w:t>）</w:t>
      </w:r>
      <w:r>
        <w:rPr>
          <w:rFonts w:hint="eastAsia"/>
        </w:rPr>
        <w:t>教、科研水平</w:t>
      </w:r>
      <w:bookmarkEnd w:id="26"/>
      <w:bookmarkEnd w:id="27"/>
      <w:bookmarkEnd w:id="28"/>
    </w:p>
    <w:p>
      <w:pPr>
        <w:adjustRightInd w:val="0"/>
        <w:snapToGrid w:val="0"/>
        <w:spacing w:before="0" w:beforeAutospacing="0" w:after="0" w:afterAutospacing="0" w:line="360" w:lineRule="auto"/>
        <w:ind w:firstLine="562" w:firstLineChars="200"/>
        <w:rPr>
          <w:rFonts w:hint="eastAsia" w:asciiTheme="minorEastAsia" w:hAnsiTheme="minorEastAsia" w:eastAsiaTheme="minorEastAsia"/>
          <w:b/>
          <w:bCs/>
          <w:sz w:val="28"/>
          <w:szCs w:val="28"/>
          <w:lang w:val="en-US" w:eastAsia="zh-CN"/>
        </w:rPr>
      </w:pPr>
      <w:bookmarkStart w:id="29" w:name="_Toc26535"/>
      <w:bookmarkStart w:id="30" w:name="_Toc8768"/>
      <w:r>
        <w:rPr>
          <w:rFonts w:hint="eastAsia" w:asciiTheme="minorEastAsia" w:hAnsiTheme="minorEastAsia" w:eastAsiaTheme="minorEastAsia"/>
          <w:b/>
          <w:bCs/>
          <w:sz w:val="28"/>
          <w:szCs w:val="28"/>
          <w:lang w:val="en-US" w:eastAsia="zh-CN"/>
        </w:rPr>
        <w:t>1.良好的专业素质，较高的师德修养和教学水平</w:t>
      </w:r>
      <w:bookmarkEnd w:id="29"/>
      <w:bookmarkEnd w:id="30"/>
    </w:p>
    <w:p>
      <w:pPr>
        <w:adjustRightInd w:val="0"/>
        <w:snapToGrid w:val="0"/>
        <w:spacing w:before="0" w:beforeAutospacing="0" w:after="0" w:afterAutospacing="0"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俄语学科的学术团队具有年轻化的优势，团队的平均年龄在40岁以下，对工作有激情、有热情，具有非常好的团队意识和合作精神。她们勇于奉献、不畏牺牲，积极参加教师外出考察、培训学习等活动，知识视野广阔，专业理论扎实，专业技能熟练，具备较强的实践能</w:t>
      </w:r>
      <w:r>
        <w:rPr>
          <w:rFonts w:hint="eastAsia" w:asciiTheme="minorEastAsia" w:hAnsiTheme="minorEastAsia" w:eastAsiaTheme="minorEastAsia"/>
          <w:sz w:val="28"/>
          <w:szCs w:val="28"/>
        </w:rPr>
        <w:t>力和创新精神，多年来在教学工作中都取得了优异的成绩。各门专业课均由具备讲师以上职称的教师讲授。</w:t>
      </w:r>
    </w:p>
    <w:p>
      <w:pPr>
        <w:adjustRightInd w:val="0"/>
        <w:snapToGrid w:val="0"/>
        <w:spacing w:before="0" w:beforeAutospacing="0" w:after="0" w:afterAutospacing="0"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为了培养学生良好的读书习惯，俄语团队的教师们多年来始终如一地提前一个小时深入班级，带领学生进行早自习。在俄语教研室，免费为学生加课，通过微信、QQ等多媒体手段检查学生作业已经常态化，短短的课间休息时间，老师们也用来讨论教育教学中遇到的问题。</w:t>
      </w:r>
    </w:p>
    <w:p>
      <w:pPr>
        <w:adjustRightInd w:val="0"/>
        <w:snapToGrid w:val="0"/>
        <w:spacing w:before="0" w:beforeAutospacing="0" w:after="0" w:afterAutospacing="0"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根据学校教学督导专家组和</w:t>
      </w:r>
      <w:r>
        <w:rPr>
          <w:rFonts w:hint="eastAsia" w:asciiTheme="minorEastAsia" w:hAnsiTheme="minorEastAsia" w:eastAsiaTheme="minorEastAsia"/>
          <w:sz w:val="28"/>
          <w:szCs w:val="28"/>
          <w:lang w:val="en-US" w:eastAsia="zh-CN"/>
        </w:rPr>
        <w:t>学院</w:t>
      </w:r>
      <w:r>
        <w:rPr>
          <w:rFonts w:hint="eastAsia" w:asciiTheme="minorEastAsia" w:hAnsiTheme="minorEastAsia" w:eastAsiaTheme="minorEastAsia"/>
          <w:sz w:val="28"/>
          <w:szCs w:val="28"/>
        </w:rPr>
        <w:t>教学督导小组的评定，俄语专业在课堂教学检查、教学基本文件检查、试卷检查等工作中，均获得高度的评价。现如今，俄语专业的教师们在工作态度和教学认真程度方面已经成为全校的榜样，在她们的带动下，整个学院掀起了一片晨晚读的热潮。</w:t>
      </w:r>
    </w:p>
    <w:p>
      <w:pPr>
        <w:adjustRightInd w:val="0"/>
        <w:snapToGrid w:val="0"/>
        <w:spacing w:before="0" w:beforeAutospacing="0" w:after="0" w:afterAutospacing="0" w:line="360" w:lineRule="auto"/>
        <w:ind w:firstLine="562" w:firstLineChars="200"/>
        <w:rPr>
          <w:rFonts w:hint="eastAsia" w:asciiTheme="minorEastAsia" w:hAnsiTheme="minorEastAsia" w:eastAsiaTheme="minorEastAsia"/>
          <w:b/>
          <w:bCs/>
          <w:sz w:val="28"/>
          <w:szCs w:val="28"/>
        </w:rPr>
      </w:pPr>
      <w:bookmarkStart w:id="31" w:name="_Toc3390"/>
      <w:bookmarkStart w:id="32" w:name="_Toc16920"/>
      <w:r>
        <w:rPr>
          <w:rFonts w:hint="eastAsia" w:asciiTheme="minorEastAsia" w:hAnsiTheme="minorEastAsia" w:eastAsiaTheme="minorEastAsia"/>
          <w:b/>
          <w:bCs/>
          <w:sz w:val="28"/>
          <w:szCs w:val="28"/>
          <w:lang w:val="en-US" w:eastAsia="zh-CN"/>
        </w:rPr>
        <w:t>2.</w:t>
      </w:r>
      <w:r>
        <w:rPr>
          <w:rFonts w:hint="eastAsia" w:asciiTheme="minorEastAsia" w:hAnsiTheme="minorEastAsia" w:eastAsiaTheme="minorEastAsia"/>
          <w:b/>
          <w:bCs/>
          <w:sz w:val="28"/>
          <w:szCs w:val="28"/>
        </w:rPr>
        <w:t>科研能力</w:t>
      </w:r>
      <w:bookmarkEnd w:id="31"/>
      <w:bookmarkEnd w:id="32"/>
    </w:p>
    <w:p>
      <w:pPr>
        <w:adjustRightInd w:val="0"/>
        <w:snapToGrid w:val="0"/>
        <w:spacing w:before="0" w:beforeAutospacing="0" w:after="0" w:afterAutospacing="0"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科学研究是学科建设的重要组成部分，高校的科研与学科建设密切相关，一个专业的科研水平和发展状况能够直接反映出学科基础条件和学术梯队的科研能力，也会直接影响到教学与人才培养的质量。</w:t>
      </w:r>
    </w:p>
    <w:p>
      <w:pPr>
        <w:adjustRightInd w:val="0"/>
        <w:snapToGrid w:val="0"/>
        <w:spacing w:before="0" w:beforeAutospacing="0" w:after="0" w:afterAutospacing="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俄语专业教师多年来始终致力于与俄语教学相关的科研工作，在全体教师的共同努力下，取得了一定的成果。截止2020年3月，俄语专业教师共发表论文92篇，完成科研立项57项，出版专著或学术类书籍7部，获得省部级奖项12个，厅局级奖项19个，校级奖项4个。</w:t>
      </w:r>
    </w:p>
    <w:p>
      <w:pPr>
        <w:adjustRightInd w:val="0"/>
        <w:snapToGrid w:val="0"/>
        <w:spacing w:before="0" w:beforeAutospacing="0" w:after="0" w:afterAutospacing="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近四年来，本专业教师和学生在国家级、省级、校级各项赛事上取得优秀奖励10余项。专业教学水平居于学校前列，教学效果良好。</w:t>
      </w:r>
    </w:p>
    <w:p>
      <w:pPr>
        <w:adjustRightInd w:val="0"/>
        <w:snapToGrid w:val="0"/>
        <w:spacing w:before="0" w:beforeAutospacing="0" w:after="0" w:afterAutospacing="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学院以</w:t>
      </w:r>
      <w:r>
        <w:rPr>
          <w:rFonts w:hint="eastAsia" w:asciiTheme="minorEastAsia" w:hAnsiTheme="minorEastAsia" w:eastAsiaTheme="minorEastAsia"/>
          <w:sz w:val="28"/>
          <w:szCs w:val="28"/>
        </w:rPr>
        <w:t>实践</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教育</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科研活动为突破口，</w:t>
      </w:r>
      <w:r>
        <w:rPr>
          <w:rFonts w:hint="eastAsia" w:asciiTheme="minorEastAsia" w:hAnsiTheme="minorEastAsia" w:eastAsiaTheme="minorEastAsia"/>
          <w:sz w:val="28"/>
          <w:szCs w:val="28"/>
          <w:lang w:val="en-US" w:eastAsia="zh-CN"/>
        </w:rPr>
        <w:t>将</w:t>
      </w:r>
      <w:r>
        <w:rPr>
          <w:rFonts w:hint="eastAsia" w:asciiTheme="minorEastAsia" w:hAnsiTheme="minorEastAsia" w:eastAsiaTheme="minorEastAsia"/>
          <w:sz w:val="28"/>
          <w:szCs w:val="28"/>
        </w:rPr>
        <w:t>教师的教学</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科研活动</w:t>
      </w:r>
      <w:r>
        <w:rPr>
          <w:rFonts w:hint="eastAsia" w:asciiTheme="minorEastAsia" w:hAnsiTheme="minorEastAsia" w:eastAsiaTheme="minorEastAsia"/>
          <w:sz w:val="28"/>
          <w:szCs w:val="28"/>
          <w:lang w:val="en-US" w:eastAsia="zh-CN"/>
        </w:rPr>
        <w:t>与</w:t>
      </w:r>
      <w:r>
        <w:rPr>
          <w:rFonts w:hint="eastAsia" w:asciiTheme="minorEastAsia" w:hAnsiTheme="minorEastAsia" w:eastAsiaTheme="minorEastAsia"/>
          <w:sz w:val="28"/>
          <w:szCs w:val="28"/>
        </w:rPr>
        <w:t>俄语专业</w:t>
      </w:r>
      <w:r>
        <w:rPr>
          <w:rFonts w:hint="eastAsia" w:asciiTheme="minorEastAsia" w:hAnsiTheme="minorEastAsia" w:eastAsiaTheme="minorEastAsia"/>
          <w:sz w:val="28"/>
          <w:szCs w:val="28"/>
          <w:lang w:val="en-US" w:eastAsia="zh-CN"/>
        </w:rPr>
        <w:t>实际紧密结合</w:t>
      </w:r>
      <w:r>
        <w:rPr>
          <w:rFonts w:hint="eastAsia" w:asciiTheme="minorEastAsia" w:hAnsiTheme="minorEastAsia" w:eastAsiaTheme="minorEastAsia"/>
          <w:sz w:val="28"/>
          <w:szCs w:val="28"/>
        </w:rPr>
        <w:t>，建立与企业、事业单位合作互动的挂职锻炼活动</w:t>
      </w:r>
      <w:r>
        <w:rPr>
          <w:rFonts w:hint="eastAsia" w:asciiTheme="minorEastAsia" w:hAnsiTheme="minorEastAsia" w:eastAsiaTheme="minorEastAsia"/>
          <w:sz w:val="28"/>
          <w:szCs w:val="28"/>
          <w:lang w:eastAsia="zh-CN"/>
        </w:rPr>
        <w:t>，</w:t>
      </w:r>
      <w:bookmarkStart w:id="219" w:name="_GoBack"/>
      <w:bookmarkEnd w:id="219"/>
      <w:r>
        <w:rPr>
          <w:rFonts w:hint="eastAsia" w:asciiTheme="minorEastAsia" w:hAnsiTheme="minorEastAsia" w:eastAsiaTheme="minorEastAsia"/>
          <w:sz w:val="28"/>
          <w:szCs w:val="28"/>
        </w:rPr>
        <w:t>极大地提高俄语全体教师的教学和科研水平。</w:t>
      </w:r>
    </w:p>
    <w:p>
      <w:pPr>
        <w:pStyle w:val="3"/>
        <w:bidi w:val="0"/>
        <w:rPr>
          <w:rFonts w:hint="eastAsia" w:ascii="黑体" w:hAnsi="黑体" w:eastAsia="黑体" w:cs="黑体"/>
          <w:b w:val="0"/>
          <w:bCs/>
        </w:rPr>
      </w:pPr>
      <w:bookmarkStart w:id="33" w:name="_Toc31207"/>
      <w:bookmarkStart w:id="34" w:name="_Toc19619"/>
      <w:bookmarkStart w:id="35" w:name="_Toc27269"/>
      <w:r>
        <w:rPr>
          <w:rFonts w:hint="eastAsia"/>
          <w:lang w:eastAsia="zh-CN"/>
        </w:rPr>
        <w:t>（</w:t>
      </w:r>
      <w:r>
        <w:rPr>
          <w:rFonts w:hint="eastAsia"/>
          <w:lang w:val="en-US" w:eastAsia="zh-CN"/>
        </w:rPr>
        <w:t>四</w:t>
      </w:r>
      <w:r>
        <w:rPr>
          <w:rFonts w:hint="eastAsia"/>
          <w:lang w:eastAsia="zh-CN"/>
        </w:rPr>
        <w:t>）</w:t>
      </w:r>
      <w:r>
        <w:rPr>
          <w:rFonts w:hint="eastAsia"/>
        </w:rPr>
        <w:t>师资队伍建设</w:t>
      </w:r>
      <w:bookmarkEnd w:id="33"/>
      <w:bookmarkEnd w:id="34"/>
      <w:bookmarkEnd w:id="35"/>
    </w:p>
    <w:p>
      <w:pPr>
        <w:adjustRightInd w:val="0"/>
        <w:snapToGrid w:val="0"/>
        <w:spacing w:before="0" w:beforeAutospacing="0" w:after="0" w:afterAutospacing="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院系按专业发展规划制定了师资培养规划，青年教师进修、提高计划，并制定了详细措施。</w:t>
      </w:r>
    </w:p>
    <w:p>
      <w:pPr>
        <w:pStyle w:val="4"/>
        <w:numPr>
          <w:ilvl w:val="0"/>
          <w:numId w:val="3"/>
        </w:numPr>
        <w:bidi w:val="0"/>
      </w:pPr>
      <w:bookmarkStart w:id="36" w:name="_Toc4983"/>
      <w:bookmarkStart w:id="37" w:name="_Toc18402"/>
      <w:r>
        <w:rPr>
          <w:rFonts w:hint="eastAsia"/>
        </w:rPr>
        <w:t>人才引进</w:t>
      </w:r>
      <w:bookmarkEnd w:id="36"/>
      <w:bookmarkEnd w:id="37"/>
    </w:p>
    <w:p>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充分利用学校人才引进政策，引进高素质人才。近4年本专业引进了素质高、基础知识扎实、综合能力强的硕士研究生3名，聘请优秀俄语外教3名。</w:t>
      </w:r>
    </w:p>
    <w:p>
      <w:pPr>
        <w:pStyle w:val="4"/>
        <w:numPr>
          <w:ilvl w:val="0"/>
          <w:numId w:val="3"/>
        </w:numPr>
        <w:bidi w:val="0"/>
        <w:ind w:left="0" w:leftChars="0" w:firstLine="562" w:firstLineChars="200"/>
      </w:pPr>
      <w:bookmarkStart w:id="38" w:name="_Toc2923"/>
      <w:bookmarkStart w:id="39" w:name="_Toc5502"/>
      <w:r>
        <w:rPr>
          <w:rFonts w:hint="eastAsia"/>
        </w:rPr>
        <w:t>提高教师学历</w:t>
      </w:r>
      <w:bookmarkEnd w:id="38"/>
      <w:bookmarkEnd w:id="39"/>
    </w:p>
    <w:p>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大力支持教师攻读硕、博学历，促进教师学历层次的整体提高。目前俄语专业在读博士1名，在俄语教师最高学府普希金俄语学院访学1人，拟攻读博士教师6人，俄语专业在岗角色争取五年之内有计划地逐步将博士人数达到90%以上。</w:t>
      </w:r>
    </w:p>
    <w:p>
      <w:pPr>
        <w:pStyle w:val="4"/>
        <w:numPr>
          <w:ilvl w:val="0"/>
          <w:numId w:val="3"/>
        </w:numPr>
        <w:bidi w:val="0"/>
        <w:ind w:left="0" w:leftChars="0" w:firstLine="562" w:firstLineChars="200"/>
        <w:rPr>
          <w:rFonts w:asciiTheme="minorEastAsia" w:hAnsiTheme="minorEastAsia" w:eastAsiaTheme="minorEastAsia"/>
          <w:szCs w:val="28"/>
        </w:rPr>
      </w:pPr>
      <w:bookmarkStart w:id="40" w:name="_Toc6977"/>
      <w:bookmarkStart w:id="41" w:name="_Toc20309"/>
      <w:r>
        <w:rPr>
          <w:rFonts w:hint="eastAsia"/>
        </w:rPr>
        <w:t>培养学科带头人</w:t>
      </w:r>
      <w:bookmarkEnd w:id="40"/>
      <w:bookmarkEnd w:id="41"/>
    </w:p>
    <w:p>
      <w:pPr>
        <w:adjustRightInd w:val="0"/>
        <w:snapToGrid w:val="0"/>
        <w:spacing w:before="0" w:beforeAutospacing="0" w:after="0" w:afterAutospacing="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重视中青年</w:t>
      </w:r>
      <w:r>
        <w:rPr>
          <w:rFonts w:hint="eastAsia" w:asciiTheme="minorEastAsia" w:hAnsiTheme="minorEastAsia" w:eastAsiaTheme="minorEastAsia"/>
          <w:color w:val="000000" w:themeColor="text1"/>
          <w:sz w:val="28"/>
          <w:szCs w:val="28"/>
          <w14:textFill>
            <w14:solidFill>
              <w14:schemeClr w14:val="tx1"/>
            </w14:solidFill>
          </w14:textFill>
        </w:rPr>
        <w:t>骨干教师学科带头人的培</w:t>
      </w:r>
      <w:r>
        <w:rPr>
          <w:rFonts w:hint="eastAsia" w:asciiTheme="minorEastAsia" w:hAnsiTheme="minorEastAsia" w:eastAsiaTheme="minorEastAsia"/>
          <w:sz w:val="28"/>
          <w:szCs w:val="28"/>
        </w:rPr>
        <w:t>养，选拔和培养素质高、教学经验丰富、科研能力强的骨干教师作为学术后备带头人。拟在五年之内，在新晋的高职称教师中，选派1-2个有责任、有冲劲、有抱负、专业过硬的骨干教师赴外访学</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参加学术论坛</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主持高精尖的科研项目，从而推动整个俄语专业的可持续发展。</w:t>
      </w:r>
    </w:p>
    <w:p>
      <w:pPr>
        <w:pStyle w:val="4"/>
        <w:numPr>
          <w:ilvl w:val="0"/>
          <w:numId w:val="3"/>
        </w:numPr>
        <w:bidi w:val="0"/>
        <w:ind w:left="0" w:leftChars="0" w:firstLine="562" w:firstLineChars="200"/>
      </w:pPr>
      <w:bookmarkStart w:id="42" w:name="_Toc21303"/>
      <w:bookmarkStart w:id="43" w:name="_Toc7971"/>
      <w:r>
        <w:rPr>
          <w:rFonts w:hint="eastAsia"/>
        </w:rPr>
        <w:t>帮助青年教师</w:t>
      </w:r>
      <w:bookmarkEnd w:id="42"/>
      <w:bookmarkEnd w:id="43"/>
    </w:p>
    <w:p>
      <w:pPr>
        <w:adjustRightInd w:val="0"/>
        <w:snapToGrid w:val="0"/>
        <w:spacing w:before="0" w:beforeAutospacing="0" w:after="0" w:afterAutospacing="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俄语专业主要采取了以下三种方式帮助年青教师成长：</w:t>
      </w:r>
    </w:p>
    <w:p>
      <w:pPr>
        <w:adjustRightInd w:val="0"/>
        <w:snapToGrid w:val="0"/>
        <w:spacing w:before="0" w:beforeAutospacing="0" w:after="0" w:afterAutospacing="0"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第一，教师听课试讲制度。青年教师必须参加听课试讲活动,再通过观摩教学、教学讲评、教学竞赛等活动尽快提高教学水平。同时资深教师与青年教师相互听课，以老带新，做好传帮带工作。</w:t>
      </w:r>
    </w:p>
    <w:p>
      <w:pPr>
        <w:adjustRightInd w:val="0"/>
        <w:snapToGrid w:val="0"/>
        <w:spacing w:before="0" w:beforeAutospacing="0" w:after="0" w:afterAutospacing="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二，“老带新”制度。通过老教师带领新的青年教师学习和研究《人才培养方案》以及俄语专业的《课程教学大纲》，帮助新教师尽快了解本专业的人才培养模式、教学目标、课程体系、教学重点、教学计划、每门课程的教学内容等重要信息，让新教师尽快进入角色，从而保证教学活动的顺利进行。</w:t>
      </w:r>
    </w:p>
    <w:p>
      <w:pPr>
        <w:adjustRightInd w:val="0"/>
        <w:snapToGrid w:val="0"/>
        <w:spacing w:before="0" w:beforeAutospacing="0" w:after="0" w:afterAutospacing="0"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第三，鼓励教师挂职锻炼。</w:t>
      </w:r>
      <w:r>
        <w:rPr>
          <w:rFonts w:hint="eastAsia" w:asciiTheme="minorEastAsia" w:hAnsiTheme="minorEastAsia" w:eastAsiaTheme="minorEastAsia"/>
          <w:color w:val="000000" w:themeColor="text1"/>
          <w:sz w:val="28"/>
          <w:szCs w:val="28"/>
          <w14:textFill>
            <w14:solidFill>
              <w14:schemeClr w14:val="tx1"/>
            </w14:solidFill>
          </w14:textFill>
        </w:rPr>
        <w:t>为了更好地将俄语专业知识服务地方，为今后的本科教学注入新的活力，学校始终鼓励青年教师进行挂职锻炼活动。目前俄语专业青年老师全部进行挂职锻炼，主要采取假期集中和平时分散的挂职形式，通过挂职锻炼，能够更好地了解俄语专业人才需求变化，将实践内容运用于教学当中，既有效提升了教学效果，又增强了教师的科研创新意识，从而使教学水平得到提高。</w:t>
      </w:r>
    </w:p>
    <w:p>
      <w:pPr>
        <w:pStyle w:val="4"/>
        <w:bidi w:val="0"/>
      </w:pPr>
      <w:bookmarkStart w:id="44" w:name="_Toc27111"/>
      <w:bookmarkStart w:id="45" w:name="_Toc10015"/>
      <w:r>
        <w:rPr>
          <w:rFonts w:hint="eastAsia"/>
          <w:lang w:val="en-US" w:eastAsia="zh-CN"/>
        </w:rPr>
        <w:t xml:space="preserve">5. </w:t>
      </w:r>
      <w:r>
        <w:rPr>
          <w:rFonts w:hint="eastAsia"/>
        </w:rPr>
        <w:t>改善职称结构</w:t>
      </w:r>
      <w:bookmarkEnd w:id="44"/>
      <w:bookmarkEnd w:id="45"/>
    </w:p>
    <w:p>
      <w:pPr>
        <w:adjustRightInd w:val="0"/>
        <w:snapToGrid w:val="0"/>
        <w:spacing w:before="0" w:beforeAutospacing="0" w:after="0" w:afterAutospacing="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学校和</w:t>
      </w:r>
      <w:r>
        <w:rPr>
          <w:rFonts w:hint="eastAsia" w:asciiTheme="minorEastAsia" w:hAnsiTheme="minorEastAsia" w:eastAsiaTheme="minorEastAsia"/>
          <w:sz w:val="28"/>
          <w:szCs w:val="28"/>
          <w:lang w:val="en-US" w:eastAsia="zh-CN"/>
        </w:rPr>
        <w:t>学</w:t>
      </w:r>
      <w:r>
        <w:rPr>
          <w:rFonts w:hint="eastAsia" w:asciiTheme="minorEastAsia" w:hAnsiTheme="minorEastAsia" w:eastAsiaTheme="minorEastAsia"/>
          <w:sz w:val="28"/>
          <w:szCs w:val="28"/>
        </w:rPr>
        <w:t>院积极创造各种条件提高教师任职资格，不断改善教师队伍的职称结构，近4年来，已经有3名教师晋升了副教授任职资格。</w:t>
      </w:r>
    </w:p>
    <w:p>
      <w:pPr>
        <w:pStyle w:val="4"/>
        <w:numPr>
          <w:ilvl w:val="0"/>
          <w:numId w:val="0"/>
        </w:numPr>
        <w:bidi w:val="0"/>
        <w:ind w:firstLine="562" w:firstLineChars="200"/>
      </w:pPr>
      <w:bookmarkStart w:id="46" w:name="_Toc24943"/>
      <w:bookmarkStart w:id="47" w:name="_Toc1167"/>
      <w:r>
        <w:rPr>
          <w:rFonts w:hint="eastAsia"/>
          <w:lang w:val="en-US" w:eastAsia="zh-CN"/>
        </w:rPr>
        <w:t>6.</w:t>
      </w:r>
      <w:r>
        <w:rPr>
          <w:rFonts w:hint="eastAsia"/>
        </w:rPr>
        <w:t>提高教师素质</w:t>
      </w:r>
      <w:bookmarkEnd w:id="46"/>
      <w:bookmarkEnd w:id="47"/>
    </w:p>
    <w:p>
      <w:pPr>
        <w:adjustRightInd w:val="0"/>
        <w:snapToGrid w:val="0"/>
        <w:spacing w:before="0" w:beforeAutospacing="0" w:after="0" w:afterAutospacing="0"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bookmarkStart w:id="48" w:name="_Toc2351"/>
      <w:r>
        <w:rPr>
          <w:rFonts w:hint="eastAsia" w:asciiTheme="minorEastAsia" w:hAnsiTheme="minorEastAsia" w:eastAsiaTheme="minorEastAsia"/>
          <w:sz w:val="28"/>
          <w:szCs w:val="28"/>
        </w:rPr>
        <w:t>教师素质的提高，直接关系到教育教学工作</w:t>
      </w:r>
      <w:r>
        <w:rPr>
          <w:rFonts w:hint="eastAsia" w:asciiTheme="minorEastAsia" w:hAnsiTheme="minorEastAsia" w:eastAsiaTheme="minorEastAsia"/>
          <w:color w:val="000000" w:themeColor="text1"/>
          <w:sz w:val="28"/>
          <w:szCs w:val="28"/>
          <w14:textFill>
            <w14:solidFill>
              <w14:schemeClr w14:val="tx1"/>
            </w14:solidFill>
          </w14:textFill>
        </w:rPr>
        <w:t>的进展，直接影响到教育教学质量。作为教师不仅要有较强的业务水平，还要有较高的思想素养。每一个教师都应把提高思想素养放在重要位置，从“树形像、铸师魂、做表率”出发，要求自己事事处处做好学生的表率，以无私奉献的精神塑造人，以渊博的知识培养人，以科学的方法引导人，以高雅的气质影响人。</w:t>
      </w:r>
      <w:bookmarkEnd w:id="48"/>
    </w:p>
    <w:p>
      <w:pPr>
        <w:pStyle w:val="4"/>
        <w:bidi w:val="0"/>
      </w:pPr>
      <w:bookmarkStart w:id="49" w:name="_Toc27959"/>
      <w:r>
        <w:rPr>
          <w:rFonts w:hint="eastAsia"/>
          <w:lang w:val="en-US" w:eastAsia="zh-CN"/>
        </w:rPr>
        <w:t>7.</w:t>
      </w:r>
      <w:r>
        <w:rPr>
          <w:rFonts w:hint="eastAsia"/>
        </w:rPr>
        <w:t>重视教师素质的提高</w:t>
      </w:r>
    </w:p>
    <w:p>
      <w:pPr>
        <w:numPr>
          <w:ilvl w:val="0"/>
          <w:numId w:val="0"/>
        </w:numPr>
        <w:adjustRightInd w:val="0"/>
        <w:snapToGrid w:val="0"/>
        <w:spacing w:before="0" w:beforeAutospacing="0" w:after="0" w:afterAutospacing="0" w:line="360" w:lineRule="auto"/>
        <w:ind w:firstLine="560" w:firstLineChars="200"/>
        <w:rPr>
          <w:rFonts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sz w:val="28"/>
          <w:szCs w:val="28"/>
          <w:lang w:val="en-US" w:eastAsia="zh-CN"/>
          <w14:textFill>
            <w14:solidFill>
              <w14:schemeClr w14:val="tx1"/>
            </w14:solidFill>
          </w14:textFill>
        </w:rPr>
        <w:t>学院</w:t>
      </w:r>
      <w:r>
        <w:rPr>
          <w:rFonts w:hint="eastAsia" w:asciiTheme="minorEastAsia" w:hAnsiTheme="minorEastAsia" w:eastAsiaTheme="minorEastAsia"/>
          <w:color w:val="000000" w:themeColor="text1"/>
          <w:sz w:val="28"/>
          <w:szCs w:val="28"/>
          <w14:textFill>
            <w14:solidFill>
              <w14:schemeClr w14:val="tx1"/>
            </w14:solidFill>
          </w14:textFill>
        </w:rPr>
        <w:t>多年来，坚持派送教师到重点</w:t>
      </w:r>
      <w:r>
        <w:rPr>
          <w:rFonts w:hint="eastAsia" w:asciiTheme="minorEastAsia" w:hAnsiTheme="minorEastAsia" w:eastAsiaTheme="minorEastAsia"/>
          <w:sz w:val="28"/>
          <w:szCs w:val="28"/>
        </w:rPr>
        <w:t>院校进行交流学习，同时，安排俄语教师们参加各类培训班和学术会议，有计划、有针对性地提升教师的教学水平、实践技能和科研能力。</w:t>
      </w:r>
      <w:bookmarkEnd w:id="49"/>
      <w:bookmarkStart w:id="50" w:name="_Toc23641"/>
      <w:r>
        <w:rPr>
          <w:rFonts w:hint="eastAsia" w:asciiTheme="minorEastAsia" w:hAnsiTheme="minorEastAsia" w:eastAsiaTheme="minorEastAsia"/>
          <w:sz w:val="28"/>
          <w:szCs w:val="28"/>
        </w:rPr>
        <w:t>经过不懈的努力，</w:t>
      </w:r>
      <w:r>
        <w:rPr>
          <w:rFonts w:hint="eastAsia" w:cs="仿宋_GB2312" w:asciiTheme="minorEastAsia" w:hAnsiTheme="minorEastAsia" w:eastAsiaTheme="minorEastAsia"/>
          <w:kern w:val="0"/>
          <w:sz w:val="28"/>
          <w:szCs w:val="28"/>
        </w:rPr>
        <w:t>俄语教师在科研能力、科研水平、创新意识、专业素质等方面，都有了显</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著的提升。到目前为止，俄语教师到其他重点高校进修2人、攻读博士1人、挂职锻炼30人次、外出考察学习20人次、参加高等学校骨干教师培训12人次、参加或指导学生参与国家级省部级大赛</w:t>
      </w:r>
      <w:r>
        <w:rPr>
          <w:rFonts w:cs="仿宋_GB2312" w:asciiTheme="minorEastAsia" w:hAnsiTheme="minorEastAsia" w:eastAsiaTheme="minorEastAsia"/>
          <w:color w:val="000000" w:themeColor="text1"/>
          <w:kern w:val="0"/>
          <w:sz w:val="28"/>
          <w:szCs w:val="28"/>
          <w14:textFill>
            <w14:solidFill>
              <w14:schemeClr w14:val="tx1"/>
            </w14:solidFill>
          </w14:textFill>
        </w:rPr>
        <w:t>2</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人次，并分别获得国际大赛二等、三等及优秀奖等。</w:t>
      </w:r>
      <w:bookmarkEnd w:id="50"/>
    </w:p>
    <w:p>
      <w:pPr>
        <w:pStyle w:val="2"/>
        <w:adjustRightInd w:val="0"/>
        <w:snapToGrid w:val="0"/>
        <w:spacing w:line="360" w:lineRule="auto"/>
        <w:ind w:firstLine="640"/>
      </w:pPr>
      <w:bookmarkStart w:id="51" w:name="_Toc14156"/>
      <w:bookmarkStart w:id="52" w:name="_Toc10868"/>
      <w:bookmarkStart w:id="53" w:name="_Toc22107"/>
      <w:bookmarkStart w:id="54" w:name="_Toc21080"/>
      <w:r>
        <w:rPr>
          <w:rFonts w:hint="eastAsia"/>
        </w:rPr>
        <w:t>三、教学资源</w:t>
      </w:r>
      <w:bookmarkEnd w:id="51"/>
      <w:bookmarkEnd w:id="52"/>
      <w:bookmarkEnd w:id="53"/>
      <w:bookmarkEnd w:id="54"/>
    </w:p>
    <w:p>
      <w:pPr>
        <w:pStyle w:val="3"/>
        <w:spacing w:line="360" w:lineRule="auto"/>
        <w:ind w:firstLine="560"/>
      </w:pPr>
      <w:bookmarkStart w:id="55" w:name="_Toc26122"/>
      <w:bookmarkStart w:id="56" w:name="_Toc5110"/>
      <w:bookmarkStart w:id="57" w:name="_Toc6721"/>
      <w:bookmarkStart w:id="58" w:name="_Toc4928"/>
      <w:r>
        <w:rPr>
          <w:rFonts w:hint="eastAsia"/>
        </w:rPr>
        <w:t>（一）仪器设备</w:t>
      </w:r>
      <w:bookmarkEnd w:id="55"/>
      <w:bookmarkEnd w:id="56"/>
      <w:bookmarkEnd w:id="57"/>
      <w:bookmarkEnd w:id="58"/>
    </w:p>
    <w:p>
      <w:pPr>
        <w:adjustRightInd w:val="0"/>
        <w:snapToGrid w:val="0"/>
        <w:spacing w:before="0" w:beforeAutospacing="0" w:after="0" w:afterAutospacing="0" w:line="360" w:lineRule="auto"/>
        <w:ind w:firstLine="560" w:firstLineChars="200"/>
        <w:rPr>
          <w:rFonts w:cs="仿宋_GB2312" w:asciiTheme="majorEastAsia" w:hAnsiTheme="majorEastAsia" w:eastAsiaTheme="majorEastAsia"/>
          <w:bCs/>
          <w:sz w:val="28"/>
          <w:szCs w:val="28"/>
        </w:rPr>
      </w:pPr>
      <w:bookmarkStart w:id="59" w:name="_Toc6214"/>
      <w:r>
        <w:rPr>
          <w:rFonts w:hint="eastAsia" w:cs="仿宋_GB2312" w:asciiTheme="majorEastAsia" w:hAnsiTheme="majorEastAsia" w:eastAsiaTheme="majorEastAsia"/>
          <w:bCs/>
          <w:color w:val="000000" w:themeColor="text1"/>
          <w:sz w:val="28"/>
          <w:szCs w:val="28"/>
          <w14:textFill>
            <w14:solidFill>
              <w14:schemeClr w14:val="tx1"/>
            </w14:solidFill>
          </w14:textFill>
        </w:rPr>
        <w:t>俄语专业采用现代化教学手段，为学院的学科专业建设和发展提供强有力的服务，实验室规章制度健全、管理规范、开放效果良好。在学校的大力支持与资助下，我院装备有教学设备先进、完善的语言实验中心，下设俄语语言实验室等4间实验室，能够充分满足俄语专</w:t>
      </w:r>
      <w:r>
        <w:rPr>
          <w:rFonts w:hint="eastAsia" w:cs="仿宋_GB2312" w:asciiTheme="majorEastAsia" w:hAnsiTheme="majorEastAsia" w:eastAsiaTheme="majorEastAsia"/>
          <w:bCs/>
          <w:sz w:val="28"/>
          <w:szCs w:val="28"/>
        </w:rPr>
        <w:t>业课程教学需求。实验设施及实验场地的利用率均为100％。无线电台每天早中晚三个时段播放俄语听力的内容供学生自主选择训练。</w:t>
      </w:r>
      <w:bookmarkEnd w:id="59"/>
    </w:p>
    <w:p>
      <w:pPr>
        <w:adjustRightInd w:val="0"/>
        <w:snapToGrid w:val="0"/>
        <w:spacing w:before="0" w:beforeAutospacing="0" w:after="0" w:afterAutospacing="0" w:line="360" w:lineRule="auto"/>
        <w:ind w:firstLine="560" w:firstLineChars="200"/>
        <w:rPr>
          <w:rFonts w:cs="仿宋_GB2312" w:asciiTheme="majorEastAsia" w:hAnsiTheme="majorEastAsia" w:eastAsiaTheme="majorEastAsia"/>
          <w:bCs/>
          <w:sz w:val="28"/>
          <w:szCs w:val="28"/>
        </w:rPr>
      </w:pPr>
      <w:bookmarkStart w:id="60" w:name="_Toc3721"/>
      <w:r>
        <w:rPr>
          <w:rFonts w:hint="eastAsia" w:cs="仿宋_GB2312" w:asciiTheme="majorEastAsia" w:hAnsiTheme="majorEastAsia" w:eastAsiaTheme="majorEastAsia"/>
          <w:bCs/>
          <w:sz w:val="28"/>
          <w:szCs w:val="28"/>
        </w:rPr>
        <w:t>俄语专业拥有丰富的网络教学资源，能利用网络开展课堂教学以及组织学生开展自主学习活动。</w:t>
      </w:r>
      <w:bookmarkEnd w:id="60"/>
    </w:p>
    <w:p>
      <w:pPr>
        <w:adjustRightInd w:val="0"/>
        <w:snapToGrid w:val="0"/>
        <w:spacing w:before="0" w:beforeAutospacing="0" w:after="0" w:afterAutospacing="0" w:line="360" w:lineRule="auto"/>
        <w:ind w:firstLine="560" w:firstLineChars="200"/>
        <w:rPr>
          <w:rFonts w:cs="仿宋_GB2312" w:asciiTheme="majorEastAsia" w:hAnsiTheme="majorEastAsia" w:eastAsiaTheme="majorEastAsia"/>
          <w:bCs/>
          <w:color w:val="000000" w:themeColor="text1"/>
          <w:sz w:val="28"/>
          <w:szCs w:val="28"/>
          <w14:textFill>
            <w14:solidFill>
              <w14:schemeClr w14:val="tx1"/>
            </w14:solidFill>
          </w14:textFill>
        </w:rPr>
      </w:pPr>
      <w:bookmarkStart w:id="61" w:name="_Toc4367"/>
      <w:r>
        <w:rPr>
          <w:rFonts w:hint="eastAsia" w:cs="仿宋_GB2312" w:asciiTheme="majorEastAsia" w:hAnsiTheme="majorEastAsia" w:eastAsiaTheme="majorEastAsia"/>
          <w:bCs/>
          <w:sz w:val="28"/>
          <w:szCs w:val="28"/>
        </w:rPr>
        <w:t>为了满足本专业的教学和考试要求，学院专门购买了蓝鸽在线教学平台资源，今年又增加了智慧树等网上授课平台，资源数据量达到30</w:t>
      </w:r>
      <w:r>
        <w:rPr>
          <w:rFonts w:hint="eastAsia" w:cs="仿宋_GB2312" w:asciiTheme="majorEastAsia" w:hAnsiTheme="majorEastAsia" w:eastAsiaTheme="majorEastAsia"/>
          <w:bCs/>
          <w:color w:val="000000" w:themeColor="text1"/>
          <w:sz w:val="28"/>
          <w:szCs w:val="28"/>
          <w14:textFill>
            <w14:solidFill>
              <w14:schemeClr w14:val="tx1"/>
            </w14:solidFill>
          </w14:textFill>
        </w:rPr>
        <w:t>0G以上。</w:t>
      </w:r>
      <w:bookmarkEnd w:id="61"/>
    </w:p>
    <w:p>
      <w:pPr>
        <w:adjustRightInd w:val="0"/>
        <w:snapToGrid w:val="0"/>
        <w:spacing w:before="0" w:beforeAutospacing="0" w:after="0" w:afterAutospacing="0" w:line="360" w:lineRule="auto"/>
        <w:ind w:firstLine="560" w:firstLineChars="200"/>
        <w:rPr>
          <w:rFonts w:cs="仿宋_GB2312" w:asciiTheme="majorEastAsia" w:hAnsiTheme="majorEastAsia" w:eastAsiaTheme="majorEastAsia"/>
          <w:bCs/>
          <w:color w:val="000000" w:themeColor="text1"/>
          <w:sz w:val="28"/>
          <w:szCs w:val="28"/>
          <w14:textFill>
            <w14:solidFill>
              <w14:schemeClr w14:val="tx1"/>
            </w14:solidFill>
          </w14:textFill>
        </w:rPr>
      </w:pPr>
      <w:bookmarkStart w:id="62" w:name="_Toc29949"/>
      <w:r>
        <w:rPr>
          <w:rFonts w:hint="eastAsia" w:cs="仿宋_GB2312" w:asciiTheme="majorEastAsia" w:hAnsiTheme="majorEastAsia" w:eastAsiaTheme="majorEastAsia"/>
          <w:bCs/>
          <w:color w:val="000000" w:themeColor="text1"/>
          <w:sz w:val="28"/>
          <w:szCs w:val="28"/>
          <w14:textFill>
            <w14:solidFill>
              <w14:schemeClr w14:val="tx1"/>
            </w14:solidFill>
          </w14:textFill>
        </w:rPr>
        <w:t>各多媒体教室、语音室均能接入互联网，能够利用网络开展课堂教学及组织学生开展自主学习活动。</w:t>
      </w:r>
      <w:bookmarkEnd w:id="62"/>
    </w:p>
    <w:p>
      <w:pPr>
        <w:adjustRightInd w:val="0"/>
        <w:snapToGrid w:val="0"/>
        <w:spacing w:after="0" w:afterAutospacing="0" w:line="360" w:lineRule="auto"/>
        <w:ind w:firstLine="480" w:firstLineChars="200"/>
        <w:jc w:val="center"/>
        <w:rPr>
          <w:rFonts w:ascii="仿宋_GB2312" w:hAnsi="仿宋" w:eastAsia="仿宋_GB2312"/>
          <w:sz w:val="24"/>
        </w:rPr>
      </w:pPr>
      <w:r>
        <w:rPr>
          <w:rFonts w:hint="eastAsia" w:ascii="仿宋_GB2312" w:hAnsi="仿宋" w:eastAsia="仿宋_GB2312"/>
          <w:sz w:val="24"/>
        </w:rPr>
        <w:t>表3：俄语网络学习资源一览表</w:t>
      </w:r>
    </w:p>
    <w:tbl>
      <w:tblPr>
        <w:tblStyle w:val="13"/>
        <w:tblW w:w="7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8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00" w:type="dxa"/>
            <w:vAlign w:val="center"/>
          </w:tcPr>
          <w:p>
            <w:pPr>
              <w:adjustRightInd w:val="0"/>
              <w:snapToGrid w:val="0"/>
              <w:spacing w:after="0" w:afterAutospacing="0" w:line="360" w:lineRule="auto"/>
              <w:ind w:firstLine="420" w:firstLineChars="200"/>
              <w:rPr>
                <w:rFonts w:ascii="仿宋_GB2312" w:hAnsi="仿宋" w:eastAsia="仿宋_GB2312"/>
                <w:szCs w:val="21"/>
              </w:rPr>
            </w:pPr>
            <w:r>
              <w:rPr>
                <w:rFonts w:hint="eastAsia" w:ascii="仿宋_GB2312" w:hAnsi="仿宋" w:eastAsia="仿宋_GB2312"/>
                <w:szCs w:val="21"/>
              </w:rPr>
              <w:t>序号</w:t>
            </w:r>
          </w:p>
        </w:tc>
        <w:tc>
          <w:tcPr>
            <w:tcW w:w="4860" w:type="dxa"/>
            <w:vAlign w:val="center"/>
          </w:tcPr>
          <w:p>
            <w:pPr>
              <w:adjustRightInd w:val="0"/>
              <w:snapToGrid w:val="0"/>
              <w:spacing w:after="0" w:afterAutospacing="0" w:line="360" w:lineRule="auto"/>
              <w:ind w:firstLine="420" w:firstLineChars="200"/>
              <w:rPr>
                <w:rFonts w:ascii="仿宋_GB2312" w:hAnsi="仿宋" w:eastAsia="仿宋_GB2312"/>
                <w:szCs w:val="21"/>
              </w:rPr>
            </w:pPr>
            <w:r>
              <w:rPr>
                <w:rFonts w:hint="eastAsia" w:ascii="仿宋_GB2312" w:hAnsi="仿宋" w:eastAsia="仿宋_GB2312"/>
                <w:szCs w:val="21"/>
              </w:rPr>
              <w:t>内容</w:t>
            </w:r>
          </w:p>
        </w:tc>
        <w:tc>
          <w:tcPr>
            <w:tcW w:w="1260" w:type="dxa"/>
            <w:vAlign w:val="center"/>
          </w:tcPr>
          <w:p>
            <w:pPr>
              <w:adjustRightInd w:val="0"/>
              <w:snapToGrid w:val="0"/>
              <w:spacing w:after="0" w:afterAutospacing="0" w:line="360" w:lineRule="auto"/>
              <w:ind w:firstLine="420" w:firstLineChars="200"/>
              <w:rPr>
                <w:rFonts w:ascii="仿宋_GB2312" w:hAnsi="仿宋" w:eastAsia="仿宋_GB2312"/>
                <w:szCs w:val="21"/>
              </w:rPr>
            </w:pPr>
            <w:r>
              <w:rPr>
                <w:rFonts w:hint="eastAsia" w:ascii="仿宋_GB2312" w:hAnsi="仿宋" w:eastAsia="仿宋_GB2312"/>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900" w:type="dxa"/>
          </w:tcPr>
          <w:p>
            <w:pPr>
              <w:adjustRightInd w:val="0"/>
              <w:snapToGrid w:val="0"/>
              <w:spacing w:after="0" w:afterAutospacing="0" w:line="360" w:lineRule="auto"/>
              <w:ind w:firstLine="420" w:firstLineChars="200"/>
              <w:rPr>
                <w:rFonts w:ascii="仿宋_GB2312" w:hAnsi="仿宋" w:eastAsia="仿宋_GB2312"/>
              </w:rPr>
            </w:pPr>
            <w:r>
              <w:rPr>
                <w:rFonts w:hint="eastAsia" w:ascii="仿宋_GB2312" w:hAnsi="仿宋" w:eastAsia="仿宋_GB2312"/>
              </w:rPr>
              <w:t>1</w:t>
            </w:r>
          </w:p>
        </w:tc>
        <w:tc>
          <w:tcPr>
            <w:tcW w:w="4860" w:type="dxa"/>
          </w:tcPr>
          <w:p>
            <w:pPr>
              <w:adjustRightInd w:val="0"/>
              <w:snapToGrid w:val="0"/>
              <w:spacing w:after="0" w:afterAutospacing="0" w:line="360" w:lineRule="auto"/>
              <w:ind w:firstLine="420" w:firstLineChars="200"/>
              <w:rPr>
                <w:rFonts w:ascii="仿宋_GB2312" w:hAnsi="仿宋" w:eastAsia="仿宋_GB2312"/>
                <w:szCs w:val="21"/>
              </w:rPr>
            </w:pPr>
            <w:r>
              <w:rPr>
                <w:rFonts w:hint="eastAsia" w:ascii="仿宋_GB2312" w:hAnsi="仿宋" w:eastAsia="仿宋_GB2312"/>
                <w:szCs w:val="21"/>
              </w:rPr>
              <w:t>蓝鸽网络教学管理平台</w:t>
            </w:r>
          </w:p>
        </w:tc>
        <w:tc>
          <w:tcPr>
            <w:tcW w:w="1260" w:type="dxa"/>
          </w:tcPr>
          <w:p>
            <w:pPr>
              <w:adjustRightInd w:val="0"/>
              <w:snapToGrid w:val="0"/>
              <w:spacing w:after="0" w:afterAutospacing="0" w:line="360" w:lineRule="auto"/>
              <w:ind w:firstLine="420" w:firstLineChars="200"/>
              <w:rPr>
                <w:rFonts w:ascii="仿宋_GB2312" w:hAnsi="仿宋" w:eastAsia="仿宋_GB2312"/>
              </w:rPr>
            </w:pPr>
            <w:r>
              <w:rPr>
                <w:rFonts w:hint="eastAsia" w:ascii="仿宋_GB2312" w:hAnsi="仿宋" w:eastAsia="仿宋_GB231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tcPr>
          <w:p>
            <w:pPr>
              <w:adjustRightInd w:val="0"/>
              <w:snapToGrid w:val="0"/>
              <w:spacing w:after="0" w:afterAutospacing="0" w:line="360" w:lineRule="auto"/>
              <w:ind w:firstLine="420" w:firstLineChars="200"/>
              <w:rPr>
                <w:rFonts w:ascii="仿宋_GB2312" w:hAnsi="仿宋" w:eastAsia="仿宋_GB2312"/>
              </w:rPr>
            </w:pPr>
            <w:r>
              <w:rPr>
                <w:rFonts w:hint="eastAsia" w:ascii="仿宋_GB2312" w:hAnsi="仿宋" w:eastAsia="仿宋_GB2312"/>
              </w:rPr>
              <w:t>2</w:t>
            </w:r>
          </w:p>
        </w:tc>
        <w:tc>
          <w:tcPr>
            <w:tcW w:w="4860" w:type="dxa"/>
          </w:tcPr>
          <w:p>
            <w:pPr>
              <w:adjustRightInd w:val="0"/>
              <w:snapToGrid w:val="0"/>
              <w:spacing w:after="0" w:afterAutospacing="0" w:line="360" w:lineRule="auto"/>
              <w:ind w:firstLine="420" w:firstLineChars="200"/>
              <w:rPr>
                <w:rFonts w:ascii="仿宋_GB2312" w:hAnsi="仿宋" w:eastAsia="仿宋_GB2312"/>
              </w:rPr>
            </w:pPr>
            <w:r>
              <w:rPr>
                <w:rFonts w:hint="eastAsia" w:ascii="仿宋_GB2312" w:hAnsi="仿宋" w:eastAsia="仿宋_GB2312"/>
                <w:szCs w:val="21"/>
              </w:rPr>
              <w:t>智慧树网上学习平台</w:t>
            </w:r>
          </w:p>
        </w:tc>
        <w:tc>
          <w:tcPr>
            <w:tcW w:w="1260" w:type="dxa"/>
          </w:tcPr>
          <w:p>
            <w:pPr>
              <w:adjustRightInd w:val="0"/>
              <w:snapToGrid w:val="0"/>
              <w:spacing w:after="0" w:afterAutospacing="0" w:line="360" w:lineRule="auto"/>
              <w:ind w:firstLine="420" w:firstLineChars="200"/>
              <w:rPr>
                <w:rFonts w:ascii="仿宋_GB2312" w:hAnsi="仿宋" w:eastAsia="仿宋_GB2312"/>
              </w:rPr>
            </w:pPr>
            <w:r>
              <w:rPr>
                <w:rFonts w:hint="eastAsia" w:ascii="仿宋_GB2312" w:hAnsi="仿宋"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adjustRightInd w:val="0"/>
              <w:snapToGrid w:val="0"/>
              <w:spacing w:after="0" w:afterAutospacing="0" w:line="360" w:lineRule="auto"/>
              <w:ind w:firstLine="420" w:firstLineChars="200"/>
              <w:rPr>
                <w:rFonts w:ascii="仿宋_GB2312" w:hAnsi="仿宋" w:eastAsia="仿宋_GB2312"/>
              </w:rPr>
            </w:pPr>
            <w:r>
              <w:rPr>
                <w:rFonts w:hint="eastAsia" w:ascii="仿宋_GB2312" w:hAnsi="仿宋" w:eastAsia="仿宋_GB2312"/>
              </w:rPr>
              <w:t>3</w:t>
            </w:r>
          </w:p>
        </w:tc>
        <w:tc>
          <w:tcPr>
            <w:tcW w:w="4860" w:type="dxa"/>
          </w:tcPr>
          <w:p>
            <w:pPr>
              <w:adjustRightInd w:val="0"/>
              <w:snapToGrid w:val="0"/>
              <w:spacing w:after="0" w:afterAutospacing="0" w:line="360" w:lineRule="auto"/>
              <w:ind w:firstLine="420" w:firstLineChars="200"/>
              <w:rPr>
                <w:rFonts w:ascii="仿宋_GB2312" w:hAnsi="仿宋" w:eastAsia="仿宋_GB2312"/>
              </w:rPr>
            </w:pPr>
            <w:r>
              <w:rPr>
                <w:rFonts w:hint="eastAsia" w:ascii="仿宋_GB2312" w:hAnsi="仿宋" w:eastAsia="仿宋_GB2312"/>
                <w:szCs w:val="21"/>
              </w:rPr>
              <w:t>钉钉网络教学平台</w:t>
            </w:r>
          </w:p>
        </w:tc>
        <w:tc>
          <w:tcPr>
            <w:tcW w:w="1260" w:type="dxa"/>
          </w:tcPr>
          <w:p>
            <w:pPr>
              <w:adjustRightInd w:val="0"/>
              <w:snapToGrid w:val="0"/>
              <w:spacing w:after="0" w:afterAutospacing="0" w:line="360" w:lineRule="auto"/>
              <w:ind w:firstLine="420" w:firstLineChars="200"/>
              <w:rPr>
                <w:rFonts w:ascii="仿宋_GB2312" w:hAnsi="仿宋" w:eastAsia="仿宋_GB2312"/>
              </w:rPr>
            </w:pPr>
            <w:r>
              <w:rPr>
                <w:rFonts w:hint="eastAsia" w:ascii="仿宋_GB2312" w:hAnsi="仿宋"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adjustRightInd w:val="0"/>
              <w:snapToGrid w:val="0"/>
              <w:spacing w:after="0" w:afterAutospacing="0" w:line="360" w:lineRule="auto"/>
              <w:ind w:firstLine="420" w:firstLineChars="200"/>
              <w:rPr>
                <w:rFonts w:ascii="仿宋_GB2312" w:hAnsi="仿宋" w:eastAsia="仿宋_GB2312"/>
              </w:rPr>
            </w:pPr>
            <w:r>
              <w:rPr>
                <w:rFonts w:hint="eastAsia" w:ascii="仿宋_GB2312" w:hAnsi="仿宋" w:eastAsia="仿宋_GB2312"/>
              </w:rPr>
              <w:t>4</w:t>
            </w:r>
          </w:p>
        </w:tc>
        <w:tc>
          <w:tcPr>
            <w:tcW w:w="4860" w:type="dxa"/>
          </w:tcPr>
          <w:p>
            <w:pPr>
              <w:adjustRightInd w:val="0"/>
              <w:snapToGrid w:val="0"/>
              <w:spacing w:after="0" w:afterAutospacing="0" w:line="360" w:lineRule="auto"/>
              <w:ind w:firstLine="420" w:firstLineChars="200"/>
              <w:rPr>
                <w:rFonts w:ascii="仿宋_GB2312" w:hAnsi="仿宋" w:eastAsia="仿宋_GB2312"/>
                <w:szCs w:val="21"/>
              </w:rPr>
            </w:pPr>
            <w:r>
              <w:rPr>
                <w:rFonts w:hint="eastAsia" w:ascii="仿宋_GB2312" w:hAnsi="仿宋" w:eastAsia="仿宋_GB2312"/>
                <w:szCs w:val="21"/>
              </w:rPr>
              <w:t>中国大学M</w:t>
            </w:r>
            <w:r>
              <w:rPr>
                <w:rFonts w:ascii="仿宋_GB2312" w:hAnsi="仿宋" w:eastAsia="仿宋_GB2312"/>
                <w:szCs w:val="21"/>
              </w:rPr>
              <w:t>OOC慕课平台</w:t>
            </w:r>
          </w:p>
        </w:tc>
        <w:tc>
          <w:tcPr>
            <w:tcW w:w="1260" w:type="dxa"/>
          </w:tcPr>
          <w:p>
            <w:pPr>
              <w:adjustRightInd w:val="0"/>
              <w:snapToGrid w:val="0"/>
              <w:spacing w:after="0" w:afterAutospacing="0" w:line="360" w:lineRule="auto"/>
              <w:ind w:firstLine="420" w:firstLineChars="200"/>
              <w:rPr>
                <w:rFonts w:ascii="仿宋_GB2312" w:hAnsi="仿宋" w:eastAsia="仿宋_GB2312"/>
              </w:rPr>
            </w:pPr>
            <w:r>
              <w:rPr>
                <w:rFonts w:hint="eastAsia" w:ascii="仿宋_GB2312" w:hAnsi="仿宋" w:eastAsia="仿宋_GB2312"/>
              </w:rPr>
              <w:t>1</w:t>
            </w:r>
          </w:p>
        </w:tc>
      </w:tr>
    </w:tbl>
    <w:p>
      <w:pPr>
        <w:adjustRightInd w:val="0"/>
        <w:snapToGrid w:val="0"/>
        <w:spacing w:beforeLines="50" w:after="0" w:afterAutospacing="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各种网上课程平台最大限度地为学生的俄语学习提供指导和帮助；俄语网络教学模式的采用，加强了学生学习过程中的实时交互性，培养了学生的自主学习能力，从而逐渐实现传授语言知识和培养语言技能的有效结合。网络教学资源的使用丰富了俄语教学手段，使学生能够自主开展模拟训练，进一步提高学生的俄语综合应用能力。教师在教学中可以运用网络教学平台进行高效的教学管理，比如：实施分组教学管理、教学日程管理、在线作业管理、在线提问、班级讨论、分组学习、学习进程监控、个体学习情况查询、学习测试实时统计等</w:t>
      </w:r>
      <w:r>
        <w:rPr>
          <w:rFonts w:hint="eastAsia" w:asciiTheme="minorEastAsia" w:hAnsiTheme="minorEastAsia" w:eastAsiaTheme="minorEastAsia"/>
          <w:color w:val="000000" w:themeColor="text1"/>
          <w:sz w:val="28"/>
          <w:szCs w:val="28"/>
          <w14:textFill>
            <w14:solidFill>
              <w14:schemeClr w14:val="tx1"/>
            </w14:solidFill>
          </w14:textFill>
        </w:rPr>
        <w:t>教学管理活动。学生在开</w:t>
      </w:r>
      <w:r>
        <w:rPr>
          <w:rFonts w:hint="eastAsia" w:asciiTheme="minorEastAsia" w:hAnsiTheme="minorEastAsia" w:eastAsiaTheme="minorEastAsia"/>
          <w:sz w:val="28"/>
          <w:szCs w:val="28"/>
        </w:rPr>
        <w:t>展自主学习活动时，可以依靠网络教学平台根据自己的实际情况灵活选班进行学习，学习过程实时记录，随时检测自身学习效果。学院目前拥有上千个终端可以同时在线使用，网络教学资源使用率较高。</w:t>
      </w:r>
    </w:p>
    <w:p>
      <w:pPr>
        <w:pStyle w:val="3"/>
        <w:spacing w:line="360" w:lineRule="auto"/>
        <w:ind w:firstLine="560"/>
      </w:pPr>
      <w:bookmarkStart w:id="63" w:name="_Toc29794"/>
      <w:bookmarkStart w:id="64" w:name="_Toc20169"/>
      <w:bookmarkStart w:id="65" w:name="_Toc17415"/>
      <w:bookmarkStart w:id="66" w:name="_Toc7758"/>
      <w:r>
        <w:rPr>
          <w:rFonts w:hint="eastAsia"/>
        </w:rPr>
        <w:t>（二）图书资料</w:t>
      </w:r>
      <w:bookmarkEnd w:id="63"/>
      <w:bookmarkEnd w:id="64"/>
      <w:bookmarkEnd w:id="65"/>
      <w:bookmarkEnd w:id="66"/>
    </w:p>
    <w:p>
      <w:pPr>
        <w:adjustRightInd w:val="0"/>
        <w:snapToGrid w:val="0"/>
        <w:spacing w:before="0" w:beforeAutospacing="0" w:after="0" w:afterAutospacing="0" w:line="360" w:lineRule="auto"/>
        <w:ind w:firstLine="560"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color w:val="000000" w:themeColor="text1"/>
          <w:sz w:val="28"/>
          <w:szCs w:val="28"/>
          <w14:textFill>
            <w14:solidFill>
              <w14:schemeClr w14:val="tx1"/>
            </w14:solidFill>
          </w14:textFill>
        </w:rPr>
        <w:t>俄语专业现有图书5000余册，电子图书1万余册。可供学生对所学专业方面的知识进行查阅和学习。专业图书资料数量充足，种类较全，基本能够满足本专业教学的需要。</w:t>
      </w:r>
    </w:p>
    <w:p>
      <w:pPr>
        <w:pStyle w:val="3"/>
        <w:spacing w:line="360" w:lineRule="auto"/>
        <w:ind w:firstLine="560"/>
      </w:pPr>
      <w:bookmarkStart w:id="67" w:name="_Toc3557"/>
      <w:bookmarkStart w:id="68" w:name="_Toc27537"/>
      <w:bookmarkStart w:id="69" w:name="_Toc16961"/>
      <w:bookmarkStart w:id="70" w:name="_Toc1142"/>
      <w:r>
        <w:rPr>
          <w:rFonts w:hint="eastAsia"/>
        </w:rPr>
        <w:t>（三）实习实训基地建设</w:t>
      </w:r>
      <w:bookmarkEnd w:id="67"/>
      <w:bookmarkEnd w:id="68"/>
      <w:bookmarkEnd w:id="69"/>
      <w:bookmarkEnd w:id="70"/>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color w:val="000000" w:themeColor="text1"/>
          <w:sz w:val="28"/>
          <w:szCs w:val="28"/>
          <w14:textFill>
            <w14:solidFill>
              <w14:schemeClr w14:val="tx1"/>
            </w14:solidFill>
          </w14:textFill>
        </w:rPr>
        <w:t>俄语专业广泛开展与各企事业单位的交流与联系，探索多种实习方式，积极主动地建设类型丰富、实训效果好的实习、实训基地，在提高学生的外语语言应用水平的同时，使学生了解并掌握一项行业实际操作技能。专业具有稳定的校内外实习实训基地，基本满足专业实习教学的需要，且与俄罗斯多所高校</w:t>
      </w:r>
      <w:r>
        <w:rPr>
          <w:rFonts w:hint="eastAsia" w:cs="仿宋_GB2312" w:asciiTheme="minorEastAsia" w:hAnsiTheme="minorEastAsia" w:eastAsiaTheme="minorEastAsia"/>
          <w:sz w:val="28"/>
          <w:szCs w:val="28"/>
        </w:rPr>
        <w:t>签订联合人才培养协议，更好地提高学生外语技能。</w:t>
      </w:r>
    </w:p>
    <w:p>
      <w:pPr>
        <w:adjustRightInd w:val="0"/>
        <w:snapToGrid w:val="0"/>
        <w:spacing w:beforeAutospacing="0" w:afterAutospacing="0" w:line="360" w:lineRule="auto"/>
        <w:ind w:firstLine="560"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自俄语专业成立以来，共开发了30多个稳定的校外实践基地，其中包括：大连东方大厦、绥芬河春秋国际旅行社、大连万达、绥芬河青云经贸公司、兴凯湖旅行社、俄罗斯布拉戈维申斯克国立师范大学、鸡西市卓研艺术教育学校等。每年由系部统一安排学生到校外实践基地进行专业实习或就业实习。</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目前，学校与俄罗斯布拉戈维申斯克国立师范大学、远东联邦大学、远东国立经济与服务大学等多所大学建立了校际合作关系，开展多种形式的联合办学。</w:t>
      </w:r>
    </w:p>
    <w:p>
      <w:pPr>
        <w:pStyle w:val="2"/>
        <w:adjustRightInd w:val="0"/>
        <w:snapToGrid w:val="0"/>
        <w:spacing w:line="360" w:lineRule="auto"/>
        <w:ind w:firstLine="640"/>
      </w:pPr>
      <w:bookmarkStart w:id="71" w:name="_Toc26440"/>
      <w:bookmarkStart w:id="72" w:name="_Toc285"/>
      <w:bookmarkStart w:id="73" w:name="_Toc6970"/>
      <w:bookmarkStart w:id="74" w:name="_Toc14244"/>
      <w:bookmarkStart w:id="75" w:name="_Toc16188"/>
      <w:bookmarkStart w:id="76" w:name="_Toc14014"/>
      <w:bookmarkStart w:id="77" w:name="_Toc13216"/>
      <w:bookmarkStart w:id="78" w:name="_Toc29348"/>
      <w:r>
        <w:rPr>
          <w:rFonts w:hint="eastAsia"/>
        </w:rPr>
        <w:t>四、人才培养与教学改革</w:t>
      </w:r>
      <w:bookmarkEnd w:id="71"/>
      <w:bookmarkEnd w:id="72"/>
      <w:bookmarkEnd w:id="73"/>
      <w:bookmarkEnd w:id="74"/>
    </w:p>
    <w:p>
      <w:pPr>
        <w:pStyle w:val="3"/>
        <w:spacing w:line="360" w:lineRule="auto"/>
        <w:ind w:firstLine="560"/>
      </w:pPr>
      <w:bookmarkStart w:id="79" w:name="_Toc19855"/>
      <w:bookmarkStart w:id="80" w:name="_Toc32158"/>
      <w:bookmarkStart w:id="81" w:name="_Toc15669"/>
      <w:bookmarkStart w:id="82" w:name="_Toc28642"/>
      <w:r>
        <w:rPr>
          <w:rFonts w:hint="eastAsia"/>
        </w:rPr>
        <w:t>（一）人才培养目标</w:t>
      </w:r>
      <w:bookmarkEnd w:id="79"/>
      <w:bookmarkEnd w:id="80"/>
      <w:bookmarkEnd w:id="81"/>
      <w:bookmarkEnd w:id="82"/>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color w:val="000000" w:themeColor="text1"/>
          <w:sz w:val="28"/>
          <w:szCs w:val="28"/>
          <w14:textFill>
            <w14:solidFill>
              <w14:schemeClr w14:val="tx1"/>
            </w14:solidFill>
          </w14:textFill>
        </w:rPr>
        <w:t>为深入贯彻校党委“1146”发展思路要求，结合本地域需求和学校实际，在学校“建设有特色的应用型本科大学”思路</w:t>
      </w:r>
      <w:r>
        <w:rPr>
          <w:rFonts w:hint="eastAsia" w:cs="仿宋_GB2312" w:asciiTheme="minorEastAsia" w:hAnsiTheme="minorEastAsia" w:eastAsiaTheme="minorEastAsia"/>
          <w:sz w:val="28"/>
          <w:szCs w:val="28"/>
        </w:rPr>
        <w:t>的指引下，俄语专业以培养具有较高水平的俄语语言综合运用能力的复合型、高素质人才为核心，以应用性</w:t>
      </w:r>
      <w:r>
        <w:rPr>
          <w:rFonts w:hint="eastAsia" w:cs="仿宋_GB2312" w:asciiTheme="minorEastAsia" w:hAnsiTheme="minorEastAsia" w:eastAsiaTheme="minorEastAsia"/>
          <w:sz w:val="28"/>
          <w:szCs w:val="28"/>
          <w:lang w:val="en-US" w:eastAsia="zh-CN"/>
        </w:rPr>
        <w:t>和实用性</w:t>
      </w:r>
      <w:r>
        <w:rPr>
          <w:rFonts w:hint="eastAsia" w:cs="仿宋_GB2312" w:asciiTheme="minorEastAsia" w:hAnsiTheme="minorEastAsia" w:eastAsiaTheme="minorEastAsia"/>
          <w:sz w:val="28"/>
          <w:szCs w:val="28"/>
        </w:rPr>
        <w:t>为主导，利用本地中俄地缘优势，基于人才培养“多元化”的专业特色，旨在培养：</w:t>
      </w:r>
    </w:p>
    <w:p>
      <w:pPr>
        <w:numPr>
          <w:ilvl w:val="0"/>
          <w:numId w:val="4"/>
        </w:numPr>
        <w:adjustRightInd w:val="0"/>
        <w:snapToGrid w:val="0"/>
        <w:spacing w:beforeAutospacing="0" w:afterAutospacing="0" w:line="360" w:lineRule="auto"/>
        <w:ind w:firstLine="560"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具有正确的思想政治方向、具备良好道德品质、自觉践行社会主义核心价值观、身心健康、具有团队协作精神和高度社会责任感的高素质人才；</w:t>
      </w:r>
    </w:p>
    <w:p>
      <w:pPr>
        <w:numPr>
          <w:ilvl w:val="0"/>
          <w:numId w:val="4"/>
        </w:num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color w:val="000000" w:themeColor="text1"/>
          <w:sz w:val="28"/>
          <w:szCs w:val="28"/>
          <w14:textFill>
            <w14:solidFill>
              <w14:schemeClr w14:val="tx1"/>
            </w14:solidFill>
          </w14:textFill>
        </w:rPr>
        <w:t>能够牢固掌握俄语专业知识以及其他相关知识，能够适应“一带一路”背景下的国家社会发展变化，服务于国家和区域经济发展</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的</w:t>
      </w:r>
      <w:r>
        <w:rPr>
          <w:rFonts w:hint="eastAsia" w:cs="仿宋_GB2312" w:asciiTheme="minorEastAsia" w:hAnsiTheme="minorEastAsia" w:eastAsiaTheme="minorEastAsia"/>
          <w:color w:val="000000" w:themeColor="text1"/>
          <w:sz w:val="28"/>
          <w:szCs w:val="28"/>
          <w14:textFill>
            <w14:solidFill>
              <w14:schemeClr w14:val="tx1"/>
            </w14:solidFill>
          </w14:textFill>
        </w:rPr>
        <w:t>，适应各类涉俄行业（包括：俄语教育、俄语学术研究、政府涉俄部门、科技部门、涉俄企事业单位、外贸公司）的高</w:t>
      </w:r>
      <w:r>
        <w:rPr>
          <w:rFonts w:hint="eastAsia" w:cs="仿宋_GB2312" w:asciiTheme="minorEastAsia" w:hAnsiTheme="minorEastAsia" w:eastAsiaTheme="minorEastAsia"/>
          <w:sz w:val="28"/>
          <w:szCs w:val="28"/>
        </w:rPr>
        <w:t>水平俄语专业人才；</w:t>
      </w:r>
    </w:p>
    <w:p>
      <w:pPr>
        <w:numPr>
          <w:ilvl w:val="0"/>
          <w:numId w:val="4"/>
        </w:numPr>
        <w:adjustRightInd w:val="0"/>
        <w:snapToGrid w:val="0"/>
        <w:spacing w:beforeAutospacing="0" w:afterAutospacing="0" w:line="360" w:lineRule="auto"/>
        <w:ind w:firstLine="560" w:firstLineChars="20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color w:val="000000" w:themeColor="text1"/>
          <w:sz w:val="28"/>
          <w:szCs w:val="28"/>
          <w14:textFill>
            <w14:solidFill>
              <w14:schemeClr w14:val="tx1"/>
            </w14:solidFill>
          </w14:textFill>
        </w:rPr>
        <w:t>具备扎实的俄语语言基础和广阔国际视野，掌握俄语、俄罗斯文学、国情和文化知识，具备语言综合实践能力，跨文化交际能力，思辨与创新能力，能够在各</w:t>
      </w:r>
      <w:r>
        <w:rPr>
          <w:rFonts w:hint="eastAsia" w:cs="仿宋_GB2312" w:asciiTheme="minorEastAsia" w:hAnsiTheme="minorEastAsia" w:eastAsiaTheme="minorEastAsia"/>
          <w:sz w:val="28"/>
          <w:szCs w:val="28"/>
        </w:rPr>
        <w:t>类企事业单位从事相关工作的，具有创新</w:t>
      </w:r>
      <w:r>
        <w:rPr>
          <w:rFonts w:hint="eastAsia" w:cs="仿宋_GB2312" w:asciiTheme="minorEastAsia" w:hAnsiTheme="minorEastAsia" w:eastAsiaTheme="minorEastAsia"/>
          <w:sz w:val="28"/>
          <w:szCs w:val="28"/>
          <w:lang w:val="en-US" w:eastAsia="zh-CN"/>
        </w:rPr>
        <w:t>能力</w:t>
      </w:r>
      <w:r>
        <w:rPr>
          <w:rFonts w:hint="eastAsia" w:cs="仿宋_GB2312" w:asciiTheme="minorEastAsia" w:hAnsiTheme="minorEastAsia" w:eastAsiaTheme="minorEastAsia"/>
          <w:sz w:val="28"/>
          <w:szCs w:val="28"/>
        </w:rPr>
        <w:t>和科研能力的，符合国家对俄战略需要的高素质、高技能的复合型应用人才。</w:t>
      </w:r>
    </w:p>
    <w:p>
      <w:pPr>
        <w:pStyle w:val="24"/>
        <w:numPr>
          <w:ilvl w:val="0"/>
          <w:numId w:val="4"/>
        </w:numPr>
        <w:spacing w:before="0" w:beforeAutospacing="0" w:after="0" w:afterAutospacing="0"/>
        <w:ind w:firstLineChars="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注重学生综合素质培养。以项目为导向，将产学研项目和创新创业课程等纳入课程体系，有效地将这些课程融入实践学期、校内外实习与实训、创新创业训练、毕业设计等各类校内外教学环节，培养学生良好的俄语听、说、读、写、译能力。培养学生运用俄语开展商务活动的能力</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w:t>
      </w:r>
      <w:r>
        <w:rPr>
          <w:rFonts w:hint="eastAsia" w:cs="仿宋_GB2312" w:asciiTheme="minorEastAsia" w:hAnsiTheme="minorEastAsia" w:eastAsiaTheme="minorEastAsia"/>
          <w:color w:val="000000" w:themeColor="text1"/>
          <w:sz w:val="28"/>
          <w:szCs w:val="28"/>
          <w14:textFill>
            <w14:solidFill>
              <w14:schemeClr w14:val="tx1"/>
            </w14:solidFill>
          </w14:textFill>
        </w:rPr>
        <w:t>在俄文环境下操作计算机的能力</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w:t>
      </w:r>
      <w:r>
        <w:rPr>
          <w:rFonts w:hint="eastAsia" w:cs="仿宋_GB2312" w:asciiTheme="minorEastAsia" w:hAnsiTheme="minorEastAsia" w:eastAsiaTheme="minorEastAsia"/>
          <w:color w:val="000000" w:themeColor="text1"/>
          <w:sz w:val="28"/>
          <w:szCs w:val="28"/>
          <w14:textFill>
            <w14:solidFill>
              <w14:schemeClr w14:val="tx1"/>
            </w14:solidFill>
          </w14:textFill>
        </w:rPr>
        <w:t>运用专业知识发现、分析、解决问题的能力</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w:t>
      </w:r>
      <w:r>
        <w:rPr>
          <w:rFonts w:hint="eastAsia" w:cs="仿宋_GB2312" w:asciiTheme="minorEastAsia" w:hAnsiTheme="minorEastAsia" w:eastAsiaTheme="minorEastAsia"/>
          <w:color w:val="000000" w:themeColor="text1"/>
          <w:sz w:val="28"/>
          <w:szCs w:val="28"/>
          <w14:textFill>
            <w14:solidFill>
              <w14:schemeClr w14:val="tx1"/>
            </w14:solidFill>
          </w14:textFill>
        </w:rPr>
        <w:t>自主学习的能力以及职业生涯管理能力。</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经过4年的本科教育学习，学生在毕业时应达到以下要求：</w:t>
      </w:r>
    </w:p>
    <w:p>
      <w:pPr>
        <w:pStyle w:val="3"/>
        <w:spacing w:line="360" w:lineRule="auto"/>
        <w:ind w:firstLine="560"/>
      </w:pPr>
      <w:bookmarkStart w:id="83" w:name="_Toc25204"/>
      <w:bookmarkStart w:id="84" w:name="_Toc5835"/>
      <w:bookmarkStart w:id="85" w:name="_Toc1372"/>
      <w:bookmarkStart w:id="86" w:name="_Toc7005"/>
      <w:r>
        <w:rPr>
          <w:rFonts w:hint="eastAsia"/>
        </w:rPr>
        <w:t>（二）毕业要求</w:t>
      </w:r>
      <w:bookmarkEnd w:id="83"/>
      <w:bookmarkEnd w:id="84"/>
      <w:bookmarkEnd w:id="85"/>
      <w:bookmarkEnd w:id="86"/>
    </w:p>
    <w:p>
      <w:pPr>
        <w:pStyle w:val="4"/>
        <w:spacing w:line="360" w:lineRule="auto"/>
        <w:ind w:firstLine="562"/>
      </w:pPr>
      <w:bookmarkStart w:id="87" w:name="_Toc3280"/>
      <w:bookmarkStart w:id="88" w:name="_Toc6226"/>
      <w:r>
        <w:rPr>
          <w:rFonts w:hint="eastAsia"/>
        </w:rPr>
        <w:t>1. 知识要求</w:t>
      </w:r>
      <w:bookmarkEnd w:id="87"/>
      <w:bookmarkEnd w:id="88"/>
    </w:p>
    <w:p>
      <w:pPr>
        <w:pStyle w:val="4"/>
        <w:spacing w:line="360" w:lineRule="auto"/>
        <w:ind w:firstLine="560"/>
        <w:rPr>
          <w:rFonts w:cs="仿宋_GB2312" w:asciiTheme="minorEastAsia" w:hAnsiTheme="minorEastAsia" w:eastAsiaTheme="minorEastAsia"/>
          <w:b w:val="0"/>
          <w:bCs/>
          <w:szCs w:val="28"/>
        </w:rPr>
      </w:pPr>
      <w:r>
        <w:rPr>
          <w:rFonts w:hint="eastAsia" w:cs="仿宋_GB2312" w:asciiTheme="minorEastAsia" w:hAnsiTheme="minorEastAsia" w:eastAsiaTheme="minorEastAsia"/>
          <w:b w:val="0"/>
          <w:bCs/>
          <w:szCs w:val="28"/>
        </w:rPr>
        <w:t>（1）了解俄语语言学、文学、文化等方面的基本知识；</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cs="仿宋_GB2312" w:asciiTheme="minorEastAsia" w:hAnsiTheme="minorEastAsia" w:eastAsiaTheme="minorEastAsia"/>
          <w:sz w:val="28"/>
          <w:szCs w:val="28"/>
        </w:rPr>
        <w:t>掌握俄语语言学基础知识</w:t>
      </w:r>
      <w:r>
        <w:rPr>
          <w:rFonts w:hint="eastAsia" w:cs="仿宋_GB2312" w:asciiTheme="minorEastAsia" w:hAnsiTheme="minorEastAsia" w:eastAsiaTheme="minorEastAsia"/>
          <w:sz w:val="28"/>
          <w:szCs w:val="28"/>
        </w:rPr>
        <w:t>（包括：听、说、读、写、译五个方面），</w:t>
      </w:r>
      <w:r>
        <w:rPr>
          <w:rFonts w:cs="仿宋_GB2312" w:asciiTheme="minorEastAsia" w:hAnsiTheme="minorEastAsia" w:eastAsiaTheme="minorEastAsia"/>
          <w:sz w:val="28"/>
          <w:szCs w:val="28"/>
        </w:rPr>
        <w:t>了解</w:t>
      </w:r>
      <w:r>
        <w:rPr>
          <w:rFonts w:hint="eastAsia" w:cs="仿宋_GB2312" w:asciiTheme="minorEastAsia" w:hAnsiTheme="minorEastAsia" w:eastAsiaTheme="minorEastAsia"/>
          <w:sz w:val="28"/>
          <w:szCs w:val="28"/>
          <w:lang w:val="en-US" w:eastAsia="zh-CN"/>
        </w:rPr>
        <w:t>各部分知识的</w:t>
      </w:r>
      <w:r>
        <w:rPr>
          <w:rFonts w:cs="仿宋_GB2312" w:asciiTheme="minorEastAsia" w:hAnsiTheme="minorEastAsia" w:eastAsiaTheme="minorEastAsia"/>
          <w:sz w:val="28"/>
          <w:szCs w:val="28"/>
        </w:rPr>
        <w:t>特点及使用技巧</w:t>
      </w:r>
      <w:r>
        <w:rPr>
          <w:rFonts w:hint="eastAsia" w:cs="仿宋_GB2312" w:asciiTheme="minorEastAsia" w:hAnsiTheme="minorEastAsia" w:eastAsiaTheme="minorEastAsia"/>
          <w:sz w:val="28"/>
          <w:szCs w:val="28"/>
        </w:rPr>
        <w:t>；</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（3）学习中国和俄罗斯社会文化等方面的知识，包括国情知识和一些常识类知识；</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学习应用俄语方面的知识以及相关技能</w:t>
      </w:r>
      <w:r>
        <w:rPr>
          <w:rFonts w:hint="eastAsia" w:cs="仿宋_GB2312" w:asciiTheme="minorEastAsia" w:hAnsiTheme="minorEastAsia" w:eastAsiaTheme="minorEastAsia"/>
          <w:sz w:val="28"/>
          <w:szCs w:val="28"/>
        </w:rPr>
        <w:t>；</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（5）</w:t>
      </w:r>
      <w:r>
        <w:rPr>
          <w:rFonts w:cs="仿宋_GB2312" w:asciiTheme="minorEastAsia" w:hAnsiTheme="minorEastAsia" w:eastAsiaTheme="minorEastAsia"/>
          <w:sz w:val="28"/>
          <w:szCs w:val="28"/>
        </w:rPr>
        <w:t>了解国际商务常识</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掌握相关的功能性语言知识</w:t>
      </w:r>
      <w:r>
        <w:rPr>
          <w:rFonts w:hint="eastAsia" w:cs="仿宋_GB2312" w:asciiTheme="minorEastAsia" w:hAnsiTheme="minorEastAsia" w:eastAsiaTheme="minorEastAsia"/>
          <w:sz w:val="28"/>
          <w:szCs w:val="28"/>
        </w:rPr>
        <w:t>；</w:t>
      </w:r>
    </w:p>
    <w:p>
      <w:pPr>
        <w:pStyle w:val="4"/>
        <w:numPr>
          <w:ilvl w:val="0"/>
          <w:numId w:val="5"/>
        </w:numPr>
        <w:spacing w:line="360" w:lineRule="auto"/>
        <w:ind w:firstLine="562"/>
      </w:pPr>
      <w:bookmarkStart w:id="89" w:name="_Toc7559"/>
      <w:bookmarkStart w:id="90" w:name="_Toc15118"/>
      <w:r>
        <w:rPr>
          <w:rFonts w:hint="eastAsia"/>
        </w:rPr>
        <w:t>能力要求</w:t>
      </w:r>
      <w:bookmarkEnd w:id="89"/>
      <w:bookmarkEnd w:id="90"/>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（1）具有自主学习的能力及论文写作的能力；</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（2）具备俄汉口译、笔译能力、良好的汉语表达能力以及第二外语的实际应用能力；</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（3）能够较熟练地运用现代化手段记录和处理信息的能力；</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（4）具备跨文化交际、团队协作能力和逻辑思维能力。</w:t>
      </w:r>
    </w:p>
    <w:p>
      <w:pPr>
        <w:pStyle w:val="4"/>
        <w:numPr>
          <w:ilvl w:val="0"/>
          <w:numId w:val="6"/>
        </w:numPr>
        <w:spacing w:line="360" w:lineRule="auto"/>
        <w:ind w:firstLine="562"/>
      </w:pPr>
      <w:bookmarkStart w:id="91" w:name="_Toc6981"/>
      <w:bookmarkStart w:id="92" w:name="_Toc29040"/>
      <w:r>
        <w:rPr>
          <w:rFonts w:hint="eastAsia"/>
        </w:rPr>
        <w:t>素质要求</w:t>
      </w:r>
      <w:bookmarkEnd w:id="91"/>
      <w:bookmarkEnd w:id="92"/>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（1）具有坚定的爱国主义思想；</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（2）具备积极向上的人生观和价值观；</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（3）具备良好的职业素养、诚信意识、团队意识和法律意识；</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（4）具备独立思考能力和创新精神；</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（5）具有良好的思想道德素质和健康、健全的生理及心理素质；</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（6）具备较高的情商，善于沟通和解决问题。</w:t>
      </w:r>
    </w:p>
    <w:p>
      <w:pPr>
        <w:pStyle w:val="3"/>
        <w:spacing w:line="360" w:lineRule="auto"/>
        <w:ind w:firstLine="560"/>
      </w:pPr>
      <w:bookmarkStart w:id="93" w:name="_Toc7734"/>
      <w:bookmarkStart w:id="94" w:name="_Toc22288"/>
      <w:bookmarkStart w:id="95" w:name="_Toc1028"/>
      <w:bookmarkStart w:id="96" w:name="_Toc14801"/>
      <w:r>
        <w:rPr>
          <w:rFonts w:hint="eastAsia"/>
        </w:rPr>
        <w:t>（三）人才培养的中心地位</w:t>
      </w:r>
      <w:bookmarkEnd w:id="93"/>
      <w:bookmarkEnd w:id="94"/>
      <w:bookmarkEnd w:id="95"/>
      <w:bookmarkEnd w:id="96"/>
    </w:p>
    <w:p>
      <w:pPr>
        <w:pStyle w:val="4"/>
        <w:spacing w:line="360" w:lineRule="auto"/>
        <w:ind w:firstLine="562"/>
      </w:pPr>
      <w:bookmarkStart w:id="97" w:name="_Toc24711"/>
      <w:bookmarkStart w:id="98" w:name="_Toc25877"/>
      <w:r>
        <w:rPr>
          <w:rFonts w:hint="eastAsia"/>
        </w:rPr>
        <w:t>1. 学院领导班子的高度重视</w:t>
      </w:r>
      <w:bookmarkEnd w:id="97"/>
      <w:bookmarkEnd w:id="98"/>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color w:val="000000" w:themeColor="text1"/>
          <w:sz w:val="28"/>
          <w:szCs w:val="28"/>
          <w14:textFill>
            <w14:solidFill>
              <w14:schemeClr w14:val="tx1"/>
            </w14:solidFill>
          </w14:textFill>
        </w:rPr>
        <w:t>为确保学校教学规章及政策措施落实到位，学院领导班子建立每周一次的班子通气汇报工作机制。教学副院长及时通报校教学例会精神及其教学任务事项，院领导班子及时部署实施，增强本科教学规章及政策的执行力度，确保教学质量逐步提高。涉及教学中的重大事项，如人才培养方案的修订、教学计</w:t>
      </w:r>
      <w:r>
        <w:rPr>
          <w:rFonts w:hint="eastAsia" w:cs="仿宋_GB2312" w:asciiTheme="minorEastAsia" w:hAnsiTheme="minorEastAsia" w:eastAsiaTheme="minorEastAsia"/>
          <w:sz w:val="28"/>
          <w:szCs w:val="28"/>
        </w:rPr>
        <w:t>划审定、评优选先等均通过院教学指导委员会讨论决定。</w:t>
      </w:r>
    </w:p>
    <w:p>
      <w:pPr>
        <w:pStyle w:val="4"/>
        <w:numPr>
          <w:ilvl w:val="0"/>
          <w:numId w:val="7"/>
        </w:numPr>
        <w:spacing w:line="360" w:lineRule="auto"/>
        <w:ind w:firstLine="562"/>
      </w:pPr>
      <w:bookmarkStart w:id="99" w:name="_Toc5297"/>
      <w:bookmarkStart w:id="100" w:name="_Toc12821"/>
      <w:r>
        <w:rPr>
          <w:rFonts w:hint="eastAsia"/>
        </w:rPr>
        <w:t>对专业的宏观把控</w:t>
      </w:r>
      <w:bookmarkEnd w:id="99"/>
      <w:bookmarkEnd w:id="100"/>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color w:val="000000" w:themeColor="text1"/>
          <w:sz w:val="28"/>
          <w:szCs w:val="28"/>
          <w14:textFill>
            <w14:solidFill>
              <w14:schemeClr w14:val="tx1"/>
            </w14:solidFill>
          </w14:textFill>
        </w:rPr>
        <w:t>根据学校要求，每两年修订一次专业人才培养方案，对人才培养目标确定，课程体系完善，学科基础课、专业主干课、专业方向课、素质拓展课等方面的制定及教学大纲的修订等环节进行适时调整完善</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w:t>
      </w:r>
      <w:r>
        <w:rPr>
          <w:rFonts w:hint="eastAsia" w:cs="仿宋_GB2312" w:asciiTheme="minorEastAsia" w:hAnsiTheme="minorEastAsia" w:eastAsiaTheme="minorEastAsia"/>
          <w:color w:val="000000" w:themeColor="text1"/>
          <w:sz w:val="28"/>
          <w:szCs w:val="28"/>
          <w14:textFill>
            <w14:solidFill>
              <w14:schemeClr w14:val="tx1"/>
            </w14:solidFill>
          </w14:textFill>
        </w:rPr>
        <w:t>特别是2018级本科人才培养方案更</w:t>
      </w:r>
      <w:r>
        <w:rPr>
          <w:rFonts w:hint="eastAsia" w:cs="仿宋_GB2312" w:asciiTheme="minorEastAsia" w:hAnsiTheme="minorEastAsia" w:eastAsiaTheme="minorEastAsia"/>
          <w:sz w:val="28"/>
          <w:szCs w:val="28"/>
        </w:rPr>
        <w:t>是在学校的统一布署下，经过全专业教师充分讨论、</w:t>
      </w:r>
      <w:r>
        <w:rPr>
          <w:rFonts w:hint="eastAsia" w:cs="仿宋_GB2312" w:asciiTheme="minorEastAsia" w:hAnsiTheme="minorEastAsia" w:eastAsiaTheme="minorEastAsia"/>
          <w:sz w:val="28"/>
          <w:szCs w:val="28"/>
          <w:lang w:val="en-US" w:eastAsia="zh-CN"/>
        </w:rPr>
        <w:t>学院</w:t>
      </w:r>
      <w:r>
        <w:rPr>
          <w:rFonts w:hint="eastAsia" w:cs="仿宋_GB2312" w:asciiTheme="minorEastAsia" w:hAnsiTheme="minorEastAsia" w:eastAsiaTheme="minorEastAsia"/>
          <w:sz w:val="28"/>
          <w:szCs w:val="28"/>
        </w:rPr>
        <w:t>反复修改后形成初稿，报教务处多次审核，上报学校通过论证后执行，充分体现了人才培养的中心地位。</w:t>
      </w:r>
    </w:p>
    <w:p>
      <w:pPr>
        <w:pStyle w:val="4"/>
        <w:numPr>
          <w:ilvl w:val="0"/>
          <w:numId w:val="8"/>
        </w:numPr>
        <w:spacing w:line="360" w:lineRule="auto"/>
        <w:ind w:firstLine="562"/>
      </w:pPr>
      <w:bookmarkStart w:id="101" w:name="_Toc7932"/>
      <w:bookmarkStart w:id="102" w:name="_Toc2732"/>
      <w:r>
        <w:rPr>
          <w:rFonts w:hint="eastAsia"/>
        </w:rPr>
        <w:t>日常教学执行到位</w:t>
      </w:r>
      <w:bookmarkEnd w:id="101"/>
      <w:bookmarkEnd w:id="102"/>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color w:val="000000" w:themeColor="text1"/>
          <w:sz w:val="28"/>
          <w:szCs w:val="28"/>
          <w14:textFill>
            <w14:solidFill>
              <w14:schemeClr w14:val="tx1"/>
            </w14:solidFill>
          </w14:textFill>
        </w:rPr>
        <w:t>学院坚持教学巡查制度，严格进行期初和期中教学检查，召开学生座谈会、教师座谈会，及时反馈教学信息。教研室</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每</w:t>
      </w:r>
      <w:r>
        <w:rPr>
          <w:rFonts w:hint="eastAsia" w:cs="仿宋_GB2312" w:asciiTheme="minorEastAsia" w:hAnsiTheme="minorEastAsia" w:eastAsiaTheme="minorEastAsia"/>
          <w:color w:val="000000" w:themeColor="text1"/>
          <w:sz w:val="28"/>
          <w:szCs w:val="28"/>
          <w14:textFill>
            <w14:solidFill>
              <w14:schemeClr w14:val="tx1"/>
            </w14:solidFill>
          </w14:textFill>
        </w:rPr>
        <w:t>周</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召开</w:t>
      </w:r>
      <w:r>
        <w:rPr>
          <w:rFonts w:hint="eastAsia" w:cs="仿宋_GB2312" w:asciiTheme="minorEastAsia" w:hAnsiTheme="minorEastAsia" w:eastAsiaTheme="minorEastAsia"/>
          <w:color w:val="000000" w:themeColor="text1"/>
          <w:sz w:val="28"/>
          <w:szCs w:val="28"/>
          <w14:textFill>
            <w14:solidFill>
              <w14:schemeClr w14:val="tx1"/>
            </w14:solidFill>
          </w14:textFill>
        </w:rPr>
        <w:t>例会、</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组织教师</w:t>
      </w:r>
      <w:r>
        <w:rPr>
          <w:rFonts w:hint="eastAsia" w:cs="仿宋_GB2312" w:asciiTheme="minorEastAsia" w:hAnsiTheme="minorEastAsia" w:eastAsiaTheme="minorEastAsia"/>
          <w:color w:val="000000" w:themeColor="text1"/>
          <w:sz w:val="28"/>
          <w:szCs w:val="28"/>
          <w14:textFill>
            <w14:solidFill>
              <w14:schemeClr w14:val="tx1"/>
            </w14:solidFill>
          </w14:textFill>
        </w:rPr>
        <w:t>集体备课、</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要求</w:t>
      </w:r>
      <w:r>
        <w:rPr>
          <w:rFonts w:hint="eastAsia" w:cs="仿宋_GB2312" w:asciiTheme="minorEastAsia" w:hAnsiTheme="minorEastAsia" w:eastAsiaTheme="minorEastAsia"/>
          <w:color w:val="000000" w:themeColor="text1"/>
          <w:sz w:val="28"/>
          <w:szCs w:val="28"/>
          <w14:textFill>
            <w14:solidFill>
              <w14:schemeClr w14:val="tx1"/>
            </w14:solidFill>
          </w14:textFill>
        </w:rPr>
        <w:t>教师间相互听课</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的</w:t>
      </w:r>
      <w:r>
        <w:rPr>
          <w:rFonts w:hint="eastAsia" w:cs="仿宋_GB2312" w:asciiTheme="minorEastAsia" w:hAnsiTheme="minorEastAsia" w:eastAsiaTheme="minorEastAsia"/>
          <w:color w:val="000000" w:themeColor="text1"/>
          <w:sz w:val="28"/>
          <w:szCs w:val="28"/>
          <w14:textFill>
            <w14:solidFill>
              <w14:schemeClr w14:val="tx1"/>
            </w14:solidFill>
          </w14:textFill>
        </w:rPr>
        <w:t>制</w:t>
      </w:r>
      <w:r>
        <w:rPr>
          <w:rFonts w:hint="eastAsia" w:cs="仿宋_GB2312" w:asciiTheme="minorEastAsia" w:hAnsiTheme="minorEastAsia" w:eastAsiaTheme="minorEastAsia"/>
          <w:sz w:val="28"/>
          <w:szCs w:val="28"/>
        </w:rPr>
        <w:t>度，保障</w:t>
      </w:r>
      <w:r>
        <w:rPr>
          <w:rFonts w:hint="eastAsia" w:cs="仿宋_GB2312" w:asciiTheme="minorEastAsia" w:hAnsiTheme="minorEastAsia" w:eastAsiaTheme="minorEastAsia"/>
          <w:sz w:val="28"/>
          <w:szCs w:val="28"/>
          <w:lang w:val="en-US" w:eastAsia="zh-CN"/>
        </w:rPr>
        <w:t>了</w:t>
      </w:r>
      <w:r>
        <w:rPr>
          <w:rFonts w:hint="eastAsia" w:cs="仿宋_GB2312" w:asciiTheme="minorEastAsia" w:hAnsiTheme="minorEastAsia" w:eastAsiaTheme="minorEastAsia"/>
          <w:sz w:val="28"/>
          <w:szCs w:val="28"/>
        </w:rPr>
        <w:t>日常教学工作稳步有序的进行。</w:t>
      </w:r>
    </w:p>
    <w:p>
      <w:pPr>
        <w:pStyle w:val="3"/>
        <w:spacing w:line="360" w:lineRule="auto"/>
        <w:ind w:firstLine="560"/>
      </w:pPr>
      <w:bookmarkStart w:id="103" w:name="_Toc502"/>
      <w:bookmarkStart w:id="104" w:name="_Toc5335"/>
      <w:bookmarkStart w:id="105" w:name="_Toc32737"/>
      <w:bookmarkStart w:id="106" w:name="_Toc4731"/>
      <w:r>
        <w:rPr>
          <w:rFonts w:hint="eastAsia"/>
        </w:rPr>
        <w:t>（四）教学改革</w:t>
      </w:r>
      <w:bookmarkEnd w:id="103"/>
      <w:bookmarkEnd w:id="104"/>
      <w:bookmarkEnd w:id="105"/>
      <w:bookmarkEnd w:id="106"/>
    </w:p>
    <w:p>
      <w:pPr>
        <w:pStyle w:val="4"/>
        <w:spacing w:line="360" w:lineRule="auto"/>
        <w:ind w:firstLine="562"/>
      </w:pPr>
      <w:bookmarkStart w:id="107" w:name="_Toc626"/>
      <w:bookmarkStart w:id="108" w:name="_Toc8552"/>
      <w:r>
        <w:rPr>
          <w:rFonts w:hint="eastAsia"/>
        </w:rPr>
        <w:t>1. 教学改革的总体思路</w:t>
      </w:r>
      <w:bookmarkEnd w:id="107"/>
      <w:bookmarkEnd w:id="108"/>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为响应学校关于建设一流应用技术大学的号召，根据学校实施“1146”内涵式建设的发展战略要求，经校领导及教务处批准，俄语专业于</w:t>
      </w:r>
      <w:r>
        <w:rPr>
          <w:rFonts w:cs="仿宋_GB2312" w:asciiTheme="minorEastAsia" w:hAnsiTheme="minorEastAsia" w:eastAsiaTheme="minorEastAsia"/>
          <w:sz w:val="28"/>
          <w:szCs w:val="28"/>
        </w:rPr>
        <w:t>2018</w:t>
      </w:r>
      <w:r>
        <w:rPr>
          <w:rFonts w:hint="eastAsia" w:cs="仿宋_GB2312" w:asciiTheme="minorEastAsia" w:hAnsiTheme="minorEastAsia" w:eastAsiaTheme="minorEastAsia"/>
          <w:sz w:val="28"/>
          <w:szCs w:val="28"/>
        </w:rPr>
        <w:t>年</w:t>
      </w:r>
      <w:r>
        <w:rPr>
          <w:rFonts w:cs="仿宋_GB2312" w:asciiTheme="minorEastAsia" w:hAnsiTheme="minorEastAsia" w:eastAsiaTheme="minorEastAsia"/>
          <w:sz w:val="28"/>
          <w:szCs w:val="28"/>
        </w:rPr>
        <w:t>9</w:t>
      </w:r>
      <w:r>
        <w:rPr>
          <w:rFonts w:hint="eastAsia" w:cs="仿宋_GB2312" w:asciiTheme="minorEastAsia" w:hAnsiTheme="minorEastAsia" w:eastAsiaTheme="minorEastAsia"/>
          <w:sz w:val="28"/>
          <w:szCs w:val="28"/>
        </w:rPr>
        <w:t>月在</w:t>
      </w:r>
      <w:r>
        <w:rPr>
          <w:rFonts w:cs="仿宋_GB2312" w:asciiTheme="minorEastAsia" w:hAnsiTheme="minorEastAsia" w:eastAsiaTheme="minorEastAsia"/>
          <w:sz w:val="28"/>
          <w:szCs w:val="28"/>
        </w:rPr>
        <w:t>18</w:t>
      </w:r>
      <w:r>
        <w:rPr>
          <w:rFonts w:hint="eastAsia" w:cs="仿宋_GB2312" w:asciiTheme="minorEastAsia" w:hAnsiTheme="minorEastAsia" w:eastAsiaTheme="minorEastAsia"/>
          <w:sz w:val="28"/>
          <w:szCs w:val="28"/>
        </w:rPr>
        <w:t>级本科开始进行教学改革。</w:t>
      </w:r>
    </w:p>
    <w:p>
      <w:pPr>
        <w:pStyle w:val="4"/>
        <w:numPr>
          <w:ilvl w:val="0"/>
          <w:numId w:val="9"/>
        </w:numPr>
        <w:spacing w:line="360" w:lineRule="auto"/>
        <w:ind w:firstLine="562"/>
      </w:pPr>
      <w:bookmarkStart w:id="109" w:name="_Toc16420"/>
      <w:bookmarkStart w:id="110" w:name="_Toc32123"/>
      <w:r>
        <w:rPr>
          <w:rFonts w:hint="eastAsia"/>
        </w:rPr>
        <w:t>教学改革的主要方面</w:t>
      </w:r>
      <w:bookmarkEnd w:id="109"/>
      <w:bookmarkEnd w:id="110"/>
    </w:p>
    <w:p>
      <w:pPr>
        <w:adjustRightInd w:val="0"/>
        <w:snapToGrid w:val="0"/>
        <w:spacing w:beforeAutospacing="0" w:afterAutospacing="0" w:line="360" w:lineRule="auto"/>
        <w:ind w:firstLine="560" w:firstLineChars="200"/>
        <w:rPr>
          <w:rFonts w:cs="仿宋_GB2312" w:asciiTheme="minorEastAsia" w:hAnsiTheme="minorEastAsia" w:eastAsiaTheme="minorEastAsia"/>
          <w:bCs/>
          <w:sz w:val="28"/>
          <w:szCs w:val="28"/>
        </w:rPr>
      </w:pPr>
      <w:r>
        <w:rPr>
          <w:rFonts w:hint="eastAsia" w:cs="仿宋_GB2312" w:asciiTheme="minorEastAsia" w:hAnsiTheme="minorEastAsia" w:eastAsiaTheme="minorEastAsia"/>
          <w:bCs/>
          <w:sz w:val="28"/>
          <w:szCs w:val="28"/>
        </w:rPr>
        <w:t>（1）差异教学，因材施教</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俄语教研室</w:t>
      </w:r>
      <w:r>
        <w:rPr>
          <w:rFonts w:hint="eastAsia" w:cs="仿宋_GB2312" w:asciiTheme="minorEastAsia" w:hAnsiTheme="minorEastAsia" w:eastAsiaTheme="minorEastAsia"/>
          <w:sz w:val="28"/>
          <w:szCs w:val="28"/>
        </w:rPr>
        <w:t>根据大一第一学期、第二学期学生期末考试成绩以及学生</w:t>
      </w:r>
      <w:r>
        <w:rPr>
          <w:rFonts w:hint="eastAsia" w:cs="仿宋_GB2312" w:asciiTheme="minorEastAsia" w:hAnsiTheme="minorEastAsia" w:eastAsiaTheme="minorEastAsia"/>
          <w:sz w:val="28"/>
          <w:szCs w:val="28"/>
          <w:lang w:val="en-US" w:eastAsia="zh-CN"/>
        </w:rPr>
        <w:t>的主体意愿，</w:t>
      </w:r>
      <w:r>
        <w:rPr>
          <w:rFonts w:hint="eastAsia" w:cs="仿宋_GB2312" w:asciiTheme="minorEastAsia" w:hAnsiTheme="minorEastAsia" w:eastAsiaTheme="minorEastAsia"/>
          <w:sz w:val="28"/>
          <w:szCs w:val="28"/>
        </w:rPr>
        <w:t>将学生分为“考研实验班”、“多元发展班”</w:t>
      </w:r>
      <w:r>
        <w:rPr>
          <w:rFonts w:hint="eastAsia" w:cs="仿宋_GB2312" w:asciiTheme="minorEastAsia" w:hAnsiTheme="minorEastAsia" w:eastAsiaTheme="minorEastAsia"/>
          <w:sz w:val="28"/>
          <w:szCs w:val="28"/>
          <w:lang w:val="en-US" w:eastAsia="zh-CN"/>
        </w:rPr>
        <w:t>和</w:t>
      </w:r>
      <w:r>
        <w:rPr>
          <w:rFonts w:hint="eastAsia" w:cs="仿宋_GB2312" w:asciiTheme="minorEastAsia" w:hAnsiTheme="minorEastAsia" w:eastAsiaTheme="minorEastAsia"/>
          <w:sz w:val="28"/>
          <w:szCs w:val="28"/>
        </w:rPr>
        <w:t>“应用实践班”。班级从教学进度、教学目标、教学内容、教学方法等</w:t>
      </w:r>
      <w:r>
        <w:rPr>
          <w:rFonts w:hint="eastAsia" w:cs="仿宋_GB2312" w:asciiTheme="minorEastAsia" w:hAnsiTheme="minorEastAsia" w:eastAsiaTheme="minorEastAsia"/>
          <w:sz w:val="28"/>
          <w:szCs w:val="28"/>
          <w:lang w:val="en-US" w:eastAsia="zh-CN"/>
        </w:rPr>
        <w:t>各个方面对学生</w:t>
      </w:r>
      <w:r>
        <w:rPr>
          <w:rFonts w:hint="eastAsia" w:cs="仿宋_GB2312" w:asciiTheme="minorEastAsia" w:hAnsiTheme="minorEastAsia" w:eastAsiaTheme="minorEastAsia"/>
          <w:sz w:val="28"/>
          <w:szCs w:val="28"/>
        </w:rPr>
        <w:t>进行差异</w:t>
      </w:r>
      <w:r>
        <w:rPr>
          <w:rFonts w:hint="eastAsia" w:cs="仿宋_GB2312" w:asciiTheme="minorEastAsia" w:hAnsiTheme="minorEastAsia" w:eastAsiaTheme="minorEastAsia"/>
          <w:sz w:val="28"/>
          <w:szCs w:val="28"/>
          <w:lang w:val="en-US" w:eastAsia="zh-CN"/>
        </w:rPr>
        <w:t>化</w:t>
      </w:r>
      <w:r>
        <w:rPr>
          <w:rFonts w:hint="eastAsia" w:cs="仿宋_GB2312" w:asciiTheme="minorEastAsia" w:hAnsiTheme="minorEastAsia" w:eastAsiaTheme="minorEastAsia"/>
          <w:sz w:val="28"/>
          <w:szCs w:val="28"/>
        </w:rPr>
        <w:t>教学。</w:t>
      </w:r>
    </w:p>
    <w:p>
      <w:pPr>
        <w:adjustRightInd w:val="0"/>
        <w:snapToGrid w:val="0"/>
        <w:spacing w:beforeAutospacing="0" w:afterAutospacing="0" w:line="360" w:lineRule="auto"/>
        <w:ind w:firstLine="560" w:firstLineChars="200"/>
        <w:rPr>
          <w:rFonts w:cs="仿宋_GB2312" w:asciiTheme="minorEastAsia" w:hAnsiTheme="minorEastAsia" w:eastAsiaTheme="minorEastAsia"/>
          <w:bCs/>
          <w:sz w:val="28"/>
          <w:szCs w:val="28"/>
        </w:rPr>
      </w:pPr>
      <w:r>
        <w:rPr>
          <w:rFonts w:hint="eastAsia" w:cs="仿宋_GB2312" w:asciiTheme="minorEastAsia" w:hAnsiTheme="minorEastAsia" w:eastAsiaTheme="minorEastAsia"/>
          <w:bCs/>
          <w:sz w:val="28"/>
          <w:szCs w:val="28"/>
        </w:rPr>
        <w:t>（2）教学手段与教学方法多样</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教师能够积极主动的采用多媒体教学手段、网络化教学手段等现代</w:t>
      </w:r>
      <w:r>
        <w:rPr>
          <w:rFonts w:hint="eastAsia" w:cs="仿宋_GB2312" w:asciiTheme="minorEastAsia" w:hAnsiTheme="minorEastAsia" w:eastAsiaTheme="minorEastAsia"/>
          <w:sz w:val="28"/>
          <w:szCs w:val="28"/>
          <w:lang w:val="en-US" w:eastAsia="zh-CN"/>
        </w:rPr>
        <w:t>化</w:t>
      </w:r>
      <w:r>
        <w:rPr>
          <w:rFonts w:hint="eastAsia" w:cs="仿宋_GB2312" w:asciiTheme="minorEastAsia" w:hAnsiTheme="minorEastAsia" w:eastAsiaTheme="minorEastAsia"/>
          <w:sz w:val="28"/>
          <w:szCs w:val="28"/>
        </w:rPr>
        <w:t>教育技术来开展教学，</w:t>
      </w:r>
      <w:r>
        <w:rPr>
          <w:rFonts w:hint="eastAsia" w:cs="仿宋_GB2312" w:asciiTheme="minorEastAsia" w:hAnsiTheme="minorEastAsia" w:eastAsiaTheme="minorEastAsia"/>
          <w:sz w:val="28"/>
          <w:szCs w:val="28"/>
          <w:lang w:val="en-US" w:eastAsia="zh-CN"/>
        </w:rPr>
        <w:t>随时对</w:t>
      </w:r>
      <w:r>
        <w:rPr>
          <w:rFonts w:hint="eastAsia" w:cs="仿宋_GB2312" w:asciiTheme="minorEastAsia" w:hAnsiTheme="minorEastAsia" w:eastAsiaTheme="minorEastAsia"/>
          <w:sz w:val="28"/>
          <w:szCs w:val="28"/>
        </w:rPr>
        <w:t>教学手段</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lang w:val="en-US" w:eastAsia="zh-CN"/>
        </w:rPr>
        <w:t>教学方法、教学内容加以调整</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根据</w:t>
      </w:r>
      <w:r>
        <w:rPr>
          <w:rFonts w:hint="eastAsia" w:cs="仿宋_GB2312" w:asciiTheme="minorEastAsia" w:hAnsiTheme="minorEastAsia" w:eastAsiaTheme="minorEastAsia"/>
          <w:sz w:val="28"/>
          <w:szCs w:val="28"/>
          <w:lang w:val="en-US" w:eastAsia="zh-CN"/>
        </w:rPr>
        <w:t>各自</w:t>
      </w:r>
      <w:r>
        <w:rPr>
          <w:rFonts w:hint="eastAsia" w:cs="仿宋_GB2312" w:asciiTheme="minorEastAsia" w:hAnsiTheme="minorEastAsia" w:eastAsiaTheme="minorEastAsia"/>
          <w:sz w:val="28"/>
          <w:szCs w:val="28"/>
        </w:rPr>
        <w:t>班级学生的特点，采用</w:t>
      </w:r>
      <w:r>
        <w:rPr>
          <w:rFonts w:hint="eastAsia" w:cs="仿宋_GB2312" w:asciiTheme="minorEastAsia" w:hAnsiTheme="minorEastAsia" w:eastAsiaTheme="minorEastAsia"/>
          <w:sz w:val="28"/>
          <w:szCs w:val="28"/>
          <w:lang w:val="en-US" w:eastAsia="zh-CN"/>
        </w:rPr>
        <w:t>相应</w:t>
      </w:r>
      <w:r>
        <w:rPr>
          <w:rFonts w:hint="eastAsia" w:cs="仿宋_GB2312" w:asciiTheme="minorEastAsia" w:hAnsiTheme="minorEastAsia" w:eastAsiaTheme="minorEastAsia"/>
          <w:sz w:val="28"/>
          <w:szCs w:val="28"/>
        </w:rPr>
        <w:t>的教学</w:t>
      </w:r>
      <w:r>
        <w:rPr>
          <w:rFonts w:hint="eastAsia" w:cs="仿宋_GB2312" w:asciiTheme="minorEastAsia" w:hAnsiTheme="minorEastAsia" w:eastAsiaTheme="minorEastAsia"/>
          <w:sz w:val="28"/>
          <w:szCs w:val="28"/>
          <w:lang w:val="en-US" w:eastAsia="zh-CN"/>
        </w:rPr>
        <w:t>方法</w:t>
      </w:r>
      <w:r>
        <w:rPr>
          <w:rFonts w:hint="eastAsia" w:cs="仿宋_GB2312" w:asciiTheme="minorEastAsia" w:hAnsiTheme="minorEastAsia" w:eastAsiaTheme="minorEastAsia"/>
          <w:sz w:val="28"/>
          <w:szCs w:val="28"/>
        </w:rPr>
        <w:t>。</w:t>
      </w:r>
    </w:p>
    <w:p>
      <w:pPr>
        <w:adjustRightInd w:val="0"/>
        <w:snapToGrid w:val="0"/>
        <w:spacing w:beforeAutospacing="0" w:afterAutospacing="0" w:line="360" w:lineRule="auto"/>
        <w:ind w:firstLine="562"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b/>
          <w:color w:val="000000" w:themeColor="text1"/>
          <w:sz w:val="28"/>
          <w:szCs w:val="28"/>
          <w14:textFill>
            <w14:solidFill>
              <w14:schemeClr w14:val="tx1"/>
            </w14:solidFill>
          </w14:textFill>
        </w:rPr>
        <w:t>考研实验班。</w:t>
      </w:r>
      <w:r>
        <w:rPr>
          <w:rFonts w:hint="eastAsia" w:cs="仿宋_GB2312" w:asciiTheme="minorEastAsia" w:hAnsiTheme="minorEastAsia" w:eastAsiaTheme="minorEastAsia"/>
          <w:color w:val="000000" w:themeColor="text1"/>
          <w:sz w:val="28"/>
          <w:szCs w:val="28"/>
          <w14:textFill>
            <w14:solidFill>
              <w14:schemeClr w14:val="tx1"/>
            </w14:solidFill>
          </w14:textFill>
        </w:rPr>
        <w:t>该班的特色是进度快、讲的精、练得勤。在课堂上设置各种比赛环节，让学生充满竞争意识和比拼精神，能够更积极主动</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地</w:t>
      </w:r>
      <w:r>
        <w:rPr>
          <w:rFonts w:hint="eastAsia" w:cs="仿宋_GB2312" w:asciiTheme="minorEastAsia" w:hAnsiTheme="minorEastAsia" w:eastAsiaTheme="minorEastAsia"/>
          <w:color w:val="000000" w:themeColor="text1"/>
          <w:sz w:val="28"/>
          <w:szCs w:val="28"/>
          <w14:textFill>
            <w14:solidFill>
              <w14:schemeClr w14:val="tx1"/>
            </w14:solidFill>
          </w14:textFill>
        </w:rPr>
        <w:t>投入学习。</w:t>
      </w:r>
    </w:p>
    <w:p>
      <w:pPr>
        <w:adjustRightInd w:val="0"/>
        <w:snapToGrid w:val="0"/>
        <w:spacing w:beforeAutospacing="0" w:afterAutospacing="0" w:line="360" w:lineRule="auto"/>
        <w:ind w:firstLine="562"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b/>
          <w:sz w:val="28"/>
          <w:szCs w:val="28"/>
        </w:rPr>
        <w:t>多元发展班。</w:t>
      </w:r>
      <w:r>
        <w:rPr>
          <w:rFonts w:hint="eastAsia" w:cs="仿宋_GB2312" w:asciiTheme="minorEastAsia" w:hAnsiTheme="minorEastAsia" w:eastAsiaTheme="minorEastAsia"/>
          <w:sz w:val="28"/>
          <w:szCs w:val="28"/>
        </w:rPr>
        <w:t>教师根据教学内容经常性地设计些学生感兴趣的俄</w:t>
      </w:r>
      <w:r>
        <w:rPr>
          <w:rFonts w:hint="eastAsia" w:cs="仿宋_GB2312" w:asciiTheme="minorEastAsia" w:hAnsiTheme="minorEastAsia" w:eastAsiaTheme="minorEastAsia"/>
          <w:color w:val="000000" w:themeColor="text1"/>
          <w:sz w:val="28"/>
          <w:szCs w:val="28"/>
          <w14:textFill>
            <w14:solidFill>
              <w14:schemeClr w14:val="tx1"/>
            </w14:solidFill>
          </w14:textFill>
        </w:rPr>
        <w:t>语小游戏，以提高学生学习的积极性，切实做到寓教于乐。同时做好教学监督，经常进行阶段性小考（考单词、背课文）。</w:t>
      </w:r>
    </w:p>
    <w:p>
      <w:pPr>
        <w:adjustRightInd w:val="0"/>
        <w:snapToGrid w:val="0"/>
        <w:spacing w:beforeAutospacing="0" w:afterAutospacing="0" w:line="360" w:lineRule="auto"/>
        <w:ind w:firstLine="562" w:firstLineChars="200"/>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pPr>
      <w:r>
        <w:rPr>
          <w:rFonts w:hint="eastAsia" w:cs="仿宋_GB2312" w:asciiTheme="minorEastAsia" w:hAnsiTheme="minorEastAsia" w:eastAsiaTheme="minorEastAsia"/>
          <w:b/>
          <w:color w:val="000000" w:themeColor="text1"/>
          <w:sz w:val="28"/>
          <w:szCs w:val="28"/>
          <w14:textFill>
            <w14:solidFill>
              <w14:schemeClr w14:val="tx1"/>
            </w14:solidFill>
          </w14:textFill>
        </w:rPr>
        <w:t>应用实践班。</w:t>
      </w:r>
      <w:r>
        <w:rPr>
          <w:rFonts w:hint="eastAsia" w:cs="仿宋_GB2312" w:asciiTheme="minorEastAsia" w:hAnsiTheme="minorEastAsia" w:eastAsiaTheme="minorEastAsia"/>
          <w:color w:val="000000" w:themeColor="text1"/>
          <w:sz w:val="28"/>
          <w:szCs w:val="28"/>
          <w14:textFill>
            <w14:solidFill>
              <w14:schemeClr w14:val="tx1"/>
            </w14:solidFill>
          </w14:textFill>
        </w:rPr>
        <w:t>教学方向侧重应用，课堂上针对生活中耳熟能详的语句和结构要求学生反复练习，并通过游戏、表演、小组竞赛等极具趣味性的教学环节，吸引学生们主动参与到教学活动中</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w:t>
      </w:r>
    </w:p>
    <w:p>
      <w:pPr>
        <w:adjustRightInd w:val="0"/>
        <w:snapToGrid w:val="0"/>
        <w:spacing w:beforeAutospacing="0" w:afterAutospacing="0" w:line="360" w:lineRule="auto"/>
        <w:ind w:firstLine="560" w:firstLineChars="200"/>
        <w:rPr>
          <w:rFonts w:cs="仿宋_GB2312" w:asciiTheme="minorEastAsia" w:hAnsiTheme="minorEastAsia" w:eastAsiaTheme="minorEastAsia"/>
          <w:bCs/>
          <w:sz w:val="28"/>
          <w:szCs w:val="28"/>
        </w:rPr>
      </w:pPr>
      <w:r>
        <w:rPr>
          <w:rFonts w:hint="eastAsia" w:cs="仿宋_GB2312" w:asciiTheme="minorEastAsia" w:hAnsiTheme="minorEastAsia" w:eastAsiaTheme="minorEastAsia"/>
          <w:bCs/>
          <w:sz w:val="28"/>
          <w:szCs w:val="28"/>
        </w:rPr>
        <w:t>（3）为学生量身定做考核方式</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color w:val="000000" w:themeColor="text1"/>
          <w:sz w:val="28"/>
          <w:szCs w:val="28"/>
          <w14:textFill>
            <w14:solidFill>
              <w14:schemeClr w14:val="tx1"/>
            </w14:solidFill>
          </w14:textFill>
        </w:rPr>
        <w:t>根据</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三个班级</w:t>
      </w:r>
      <w:r>
        <w:rPr>
          <w:rFonts w:hint="eastAsia" w:cs="仿宋_GB2312" w:asciiTheme="minorEastAsia" w:hAnsiTheme="minorEastAsia" w:eastAsiaTheme="minorEastAsia"/>
          <w:color w:val="000000" w:themeColor="text1"/>
          <w:sz w:val="28"/>
          <w:szCs w:val="28"/>
          <w14:textFill>
            <w14:solidFill>
              <w14:schemeClr w14:val="tx1"/>
            </w14:solidFill>
          </w14:textFill>
        </w:rPr>
        <w:t>的</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学生的</w:t>
      </w:r>
      <w:r>
        <w:rPr>
          <w:rFonts w:hint="eastAsia" w:cs="仿宋_GB2312" w:asciiTheme="minorEastAsia" w:hAnsiTheme="minorEastAsia" w:eastAsiaTheme="minorEastAsia"/>
          <w:color w:val="000000" w:themeColor="text1"/>
          <w:sz w:val="28"/>
          <w:szCs w:val="28"/>
          <w14:textFill>
            <w14:solidFill>
              <w14:schemeClr w14:val="tx1"/>
            </w14:solidFill>
          </w14:textFill>
        </w:rPr>
        <w:t>特点、教学进度和教学内容，设置相应的考核方式。考研实验班的试题主</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w:t>
      </w:r>
      <w:r>
        <w:rPr>
          <w:rFonts w:hint="eastAsia" w:cs="仿宋_GB2312" w:asciiTheme="minorEastAsia" w:hAnsiTheme="minorEastAsia" w:eastAsiaTheme="minorEastAsia"/>
          <w:color w:val="000000" w:themeColor="text1"/>
          <w:sz w:val="28"/>
          <w:szCs w:val="28"/>
          <w14:textFill>
            <w14:solidFill>
              <w14:schemeClr w14:val="tx1"/>
            </w14:solidFill>
          </w14:textFill>
        </w:rPr>
        <w:t>客观比例适</w:t>
      </w:r>
      <w:r>
        <w:rPr>
          <w:rFonts w:hint="eastAsia" w:cs="仿宋_GB2312" w:asciiTheme="minorEastAsia" w:hAnsiTheme="minorEastAsia" w:eastAsiaTheme="minorEastAsia"/>
          <w:sz w:val="28"/>
          <w:szCs w:val="28"/>
        </w:rPr>
        <w:t>中，难度较高，知识覆盖面广，着重考察学生对知识是否能精准理解并熟练运用；</w:t>
      </w:r>
    </w:p>
    <w:p>
      <w:pPr>
        <w:adjustRightInd w:val="0"/>
        <w:snapToGrid w:val="0"/>
        <w:spacing w:beforeAutospacing="0" w:afterAutospacing="0" w:line="360" w:lineRule="auto"/>
        <w:ind w:firstLine="560"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sz w:val="28"/>
          <w:szCs w:val="28"/>
        </w:rPr>
        <w:t>多元发展班的试题</w:t>
      </w:r>
      <w:r>
        <w:rPr>
          <w:rFonts w:hint="eastAsia" w:cs="仿宋_GB2312" w:asciiTheme="minorEastAsia" w:hAnsiTheme="minorEastAsia" w:eastAsiaTheme="minorEastAsia"/>
          <w:sz w:val="28"/>
          <w:szCs w:val="28"/>
          <w:lang w:val="en-US" w:eastAsia="zh-CN"/>
        </w:rPr>
        <w:t>中，</w:t>
      </w:r>
      <w:r>
        <w:rPr>
          <w:rFonts w:hint="eastAsia" w:cs="仿宋_GB2312" w:asciiTheme="minorEastAsia" w:hAnsiTheme="minorEastAsia" w:eastAsiaTheme="minorEastAsia"/>
          <w:sz w:val="28"/>
          <w:szCs w:val="28"/>
        </w:rPr>
        <w:t>客观题略高于主观题比例，难度适中，知识覆盖面适中，着重考察学生对知识的理解程度和掌</w:t>
      </w:r>
      <w:r>
        <w:rPr>
          <w:rFonts w:hint="eastAsia" w:cs="仿宋_GB2312" w:asciiTheme="minorEastAsia" w:hAnsiTheme="minorEastAsia" w:eastAsiaTheme="minorEastAsia"/>
          <w:color w:val="000000" w:themeColor="text1"/>
          <w:sz w:val="28"/>
          <w:szCs w:val="28"/>
          <w14:textFill>
            <w14:solidFill>
              <w14:schemeClr w14:val="tx1"/>
            </w14:solidFill>
          </w14:textFill>
        </w:rPr>
        <w:t>握程度以及重点句型和词组是否能够牢固掌握。</w:t>
      </w:r>
    </w:p>
    <w:p>
      <w:pPr>
        <w:adjustRightInd w:val="0"/>
        <w:snapToGrid w:val="0"/>
        <w:spacing w:beforeAutospacing="0" w:afterAutospacing="0" w:line="360" w:lineRule="auto"/>
        <w:ind w:firstLine="560"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应用实践班的试题分阶段考查和期末测试两个部分，阶段考</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查</w:t>
      </w:r>
      <w:r>
        <w:rPr>
          <w:rFonts w:hint="eastAsia" w:cs="仿宋_GB2312" w:asciiTheme="minorEastAsia" w:hAnsiTheme="minorEastAsia" w:eastAsiaTheme="minorEastAsia"/>
          <w:color w:val="000000" w:themeColor="text1"/>
          <w:sz w:val="28"/>
          <w:szCs w:val="28"/>
          <w14:textFill>
            <w14:solidFill>
              <w14:schemeClr w14:val="tx1"/>
            </w14:solidFill>
          </w14:textFill>
        </w:rPr>
        <w:t>以单元为单位，教师分期分批进行考</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查</w:t>
      </w:r>
      <w:r>
        <w:rPr>
          <w:rFonts w:hint="eastAsia" w:cs="仿宋_GB2312" w:asciiTheme="minorEastAsia" w:hAnsiTheme="minorEastAsia" w:eastAsiaTheme="minorEastAsia"/>
          <w:color w:val="000000" w:themeColor="text1"/>
          <w:sz w:val="28"/>
          <w:szCs w:val="28"/>
          <w14:textFill>
            <w14:solidFill>
              <w14:schemeClr w14:val="tx1"/>
            </w14:solidFill>
          </w14:textFill>
        </w:rPr>
        <w:t>、计分，分数占期末成绩的</w:t>
      </w:r>
      <w:r>
        <w:rPr>
          <w:rFonts w:cs="仿宋_GB2312" w:asciiTheme="minorEastAsia" w:hAnsiTheme="minorEastAsia" w:eastAsiaTheme="minorEastAsia"/>
          <w:color w:val="000000" w:themeColor="text1"/>
          <w:sz w:val="28"/>
          <w:szCs w:val="28"/>
          <w14:textFill>
            <w14:solidFill>
              <w14:schemeClr w14:val="tx1"/>
            </w14:solidFill>
          </w14:textFill>
        </w:rPr>
        <w:t>45%</w:t>
      </w:r>
      <w:r>
        <w:rPr>
          <w:rFonts w:hint="eastAsia" w:cs="仿宋_GB2312" w:asciiTheme="minorEastAsia" w:hAnsiTheme="minorEastAsia" w:eastAsiaTheme="minorEastAsia"/>
          <w:color w:val="000000" w:themeColor="text1"/>
          <w:sz w:val="28"/>
          <w:szCs w:val="28"/>
          <w14:textFill>
            <w14:solidFill>
              <w14:schemeClr w14:val="tx1"/>
            </w14:solidFill>
          </w14:textFill>
        </w:rPr>
        <w:t>，考查方法为口试。期末测试考核方式为笔试，主观题比例略高于客观题，着重考查学生对知识的理解程度，分数占比为</w:t>
      </w:r>
      <w:r>
        <w:rPr>
          <w:rFonts w:cs="仿宋_GB2312" w:asciiTheme="minorEastAsia" w:hAnsiTheme="minorEastAsia" w:eastAsiaTheme="minorEastAsia"/>
          <w:color w:val="000000" w:themeColor="text1"/>
          <w:sz w:val="28"/>
          <w:szCs w:val="28"/>
          <w14:textFill>
            <w14:solidFill>
              <w14:schemeClr w14:val="tx1"/>
            </w14:solidFill>
          </w14:textFill>
        </w:rPr>
        <w:t>55%</w:t>
      </w:r>
      <w:r>
        <w:rPr>
          <w:rFonts w:hint="eastAsia" w:cs="仿宋_GB2312" w:asciiTheme="minorEastAsia" w:hAnsiTheme="minorEastAsia" w:eastAsiaTheme="minorEastAsia"/>
          <w:color w:val="000000" w:themeColor="text1"/>
          <w:sz w:val="28"/>
          <w:szCs w:val="28"/>
          <w14:textFill>
            <w14:solidFill>
              <w14:schemeClr w14:val="tx1"/>
            </w14:solidFill>
          </w14:textFill>
        </w:rPr>
        <w:t>。</w:t>
      </w:r>
    </w:p>
    <w:p>
      <w:pPr>
        <w:pStyle w:val="4"/>
        <w:numPr>
          <w:ilvl w:val="0"/>
          <w:numId w:val="10"/>
        </w:numPr>
        <w:spacing w:line="360" w:lineRule="auto"/>
        <w:ind w:firstLine="562"/>
      </w:pPr>
      <w:bookmarkStart w:id="111" w:name="_Toc18497"/>
      <w:bookmarkStart w:id="112" w:name="_Toc10797"/>
      <w:r>
        <w:rPr>
          <w:rFonts w:hint="eastAsia"/>
        </w:rPr>
        <w:t>教学改革的阶段性成果</w:t>
      </w:r>
      <w:bookmarkEnd w:id="111"/>
      <w:bookmarkEnd w:id="112"/>
    </w:p>
    <w:p>
      <w:pPr>
        <w:adjustRightInd w:val="0"/>
        <w:snapToGrid w:val="0"/>
        <w:spacing w:beforeAutospacing="0" w:afterAutospacing="0" w:line="360" w:lineRule="auto"/>
        <w:ind w:firstLine="560"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本年度是</w:t>
      </w:r>
      <w:r>
        <w:rPr>
          <w:rFonts w:cs="仿宋_GB2312" w:asciiTheme="minorEastAsia" w:hAnsiTheme="minorEastAsia" w:eastAsiaTheme="minorEastAsia"/>
          <w:color w:val="000000" w:themeColor="text1"/>
          <w:sz w:val="28"/>
          <w:szCs w:val="28"/>
          <w14:textFill>
            <w14:solidFill>
              <w14:schemeClr w14:val="tx1"/>
            </w14:solidFill>
          </w14:textFill>
        </w:rPr>
        <w:t>18</w:t>
      </w:r>
      <w:r>
        <w:rPr>
          <w:rFonts w:hint="eastAsia" w:cs="仿宋_GB2312" w:asciiTheme="minorEastAsia" w:hAnsiTheme="minorEastAsia" w:eastAsiaTheme="minorEastAsia"/>
          <w:color w:val="000000" w:themeColor="text1"/>
          <w:sz w:val="28"/>
          <w:szCs w:val="28"/>
          <w14:textFill>
            <w14:solidFill>
              <w14:schemeClr w14:val="tx1"/>
            </w14:solidFill>
          </w14:textFill>
        </w:rPr>
        <w:t>级差异分班的第二年，班级成员已经基本确定，阶段性成果已初步显现。各班教学秩序井然，教学状况良好，在</w:t>
      </w:r>
      <w:r>
        <w:rPr>
          <w:rFonts w:cs="仿宋_GB2312" w:asciiTheme="minorEastAsia" w:hAnsiTheme="minorEastAsia" w:eastAsiaTheme="minorEastAsia"/>
          <w:color w:val="000000" w:themeColor="text1"/>
          <w:sz w:val="28"/>
          <w:szCs w:val="28"/>
          <w14:textFill>
            <w14:solidFill>
              <w14:schemeClr w14:val="tx1"/>
            </w14:solidFill>
          </w14:textFill>
        </w:rPr>
        <w:t>18-19</w:t>
      </w:r>
      <w:r>
        <w:rPr>
          <w:rFonts w:hint="eastAsia" w:cs="仿宋_GB2312" w:asciiTheme="minorEastAsia" w:hAnsiTheme="minorEastAsia" w:eastAsiaTheme="minorEastAsia"/>
          <w:color w:val="000000" w:themeColor="text1"/>
          <w:sz w:val="28"/>
          <w:szCs w:val="28"/>
          <w14:textFill>
            <w14:solidFill>
              <w14:schemeClr w14:val="tx1"/>
            </w14:solidFill>
          </w14:textFill>
        </w:rPr>
        <w:t>第二学期的考试中，学生期末测试卷面成绩的合格率超过</w:t>
      </w:r>
      <w:r>
        <w:rPr>
          <w:rFonts w:cs="仿宋_GB2312" w:asciiTheme="minorEastAsia" w:hAnsiTheme="minorEastAsia" w:eastAsiaTheme="minorEastAsia"/>
          <w:color w:val="000000" w:themeColor="text1"/>
          <w:sz w:val="28"/>
          <w:szCs w:val="28"/>
          <w14:textFill>
            <w14:solidFill>
              <w14:schemeClr w14:val="tx1"/>
            </w14:solidFill>
          </w14:textFill>
        </w:rPr>
        <w:t>80%</w:t>
      </w:r>
      <w:r>
        <w:rPr>
          <w:rFonts w:hint="eastAsia" w:cs="仿宋_GB2312" w:asciiTheme="minorEastAsia" w:hAnsiTheme="minorEastAsia" w:eastAsiaTheme="minorEastAsia"/>
          <w:color w:val="000000" w:themeColor="text1"/>
          <w:sz w:val="28"/>
          <w:szCs w:val="28"/>
          <w14:textFill>
            <w14:solidFill>
              <w14:schemeClr w14:val="tx1"/>
            </w14:solidFill>
          </w14:textFill>
        </w:rPr>
        <w:t>，较</w:t>
      </w:r>
      <w:r>
        <w:rPr>
          <w:rFonts w:cs="仿宋_GB2312" w:asciiTheme="minorEastAsia" w:hAnsiTheme="minorEastAsia" w:eastAsiaTheme="minorEastAsia"/>
          <w:color w:val="000000" w:themeColor="text1"/>
          <w:sz w:val="28"/>
          <w:szCs w:val="28"/>
          <w14:textFill>
            <w14:solidFill>
              <w14:schemeClr w14:val="tx1"/>
            </w14:solidFill>
          </w14:textFill>
        </w:rPr>
        <w:t>17</w:t>
      </w:r>
      <w:r>
        <w:rPr>
          <w:rFonts w:hint="eastAsia" w:cs="仿宋_GB2312" w:asciiTheme="minorEastAsia" w:hAnsiTheme="minorEastAsia" w:eastAsiaTheme="minorEastAsia"/>
          <w:color w:val="000000" w:themeColor="text1"/>
          <w:sz w:val="28"/>
          <w:szCs w:val="28"/>
          <w14:textFill>
            <w14:solidFill>
              <w14:schemeClr w14:val="tx1"/>
            </w14:solidFill>
          </w14:textFill>
        </w:rPr>
        <w:t>级提高近</w:t>
      </w:r>
      <w:r>
        <w:rPr>
          <w:rFonts w:cs="仿宋_GB2312" w:asciiTheme="minorEastAsia" w:hAnsiTheme="minorEastAsia" w:eastAsiaTheme="minorEastAsia"/>
          <w:color w:val="000000" w:themeColor="text1"/>
          <w:sz w:val="28"/>
          <w:szCs w:val="28"/>
          <w14:textFill>
            <w14:solidFill>
              <w14:schemeClr w14:val="tx1"/>
            </w14:solidFill>
          </w14:textFill>
        </w:rPr>
        <w:t>10</w:t>
      </w:r>
      <w:r>
        <w:rPr>
          <w:rFonts w:hint="eastAsia" w:cs="仿宋_GB2312" w:asciiTheme="minorEastAsia" w:hAnsiTheme="minorEastAsia" w:eastAsiaTheme="minorEastAsia"/>
          <w:color w:val="000000" w:themeColor="text1"/>
          <w:sz w:val="28"/>
          <w:szCs w:val="28"/>
          <w14:textFill>
            <w14:solidFill>
              <w14:schemeClr w14:val="tx1"/>
            </w14:solidFill>
          </w14:textFill>
        </w:rPr>
        <w:t>个百分点。</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color w:val="000000" w:themeColor="text1"/>
          <w:sz w:val="28"/>
          <w:szCs w:val="28"/>
          <w14:textFill>
            <w14:solidFill>
              <w14:schemeClr w14:val="tx1"/>
            </w14:solidFill>
          </w14:textFill>
        </w:rPr>
        <w:t>在</w:t>
      </w:r>
      <w:r>
        <w:rPr>
          <w:rFonts w:cs="仿宋_GB2312" w:asciiTheme="minorEastAsia" w:hAnsiTheme="minorEastAsia" w:eastAsiaTheme="minorEastAsia"/>
          <w:color w:val="000000" w:themeColor="text1"/>
          <w:sz w:val="28"/>
          <w:szCs w:val="28"/>
          <w14:textFill>
            <w14:solidFill>
              <w14:schemeClr w14:val="tx1"/>
            </w14:solidFill>
          </w14:textFill>
        </w:rPr>
        <w:t>2019</w:t>
      </w:r>
      <w:r>
        <w:rPr>
          <w:rFonts w:hint="eastAsia" w:cs="仿宋_GB2312" w:asciiTheme="minorEastAsia" w:hAnsiTheme="minorEastAsia" w:eastAsiaTheme="minorEastAsia"/>
          <w:color w:val="000000" w:themeColor="text1"/>
          <w:sz w:val="28"/>
          <w:szCs w:val="28"/>
          <w14:textFill>
            <w14:solidFill>
              <w14:schemeClr w14:val="tx1"/>
            </w14:solidFill>
          </w14:textFill>
        </w:rPr>
        <w:t>年举行的“哈尔滨之春”中俄大学生俄语竞赛中，</w:t>
      </w:r>
      <w:r>
        <w:rPr>
          <w:rFonts w:cs="仿宋_GB2312" w:asciiTheme="minorEastAsia" w:hAnsiTheme="minorEastAsia" w:eastAsiaTheme="minorEastAsia"/>
          <w:color w:val="000000" w:themeColor="text1"/>
          <w:sz w:val="28"/>
          <w:szCs w:val="28"/>
          <w14:textFill>
            <w14:solidFill>
              <w14:schemeClr w14:val="tx1"/>
            </w14:solidFill>
          </w14:textFill>
        </w:rPr>
        <w:t>18</w:t>
      </w:r>
      <w:r>
        <w:rPr>
          <w:rFonts w:hint="eastAsia" w:cs="仿宋_GB2312" w:asciiTheme="minorEastAsia" w:hAnsiTheme="minorEastAsia" w:eastAsiaTheme="minorEastAsia"/>
          <w:color w:val="000000" w:themeColor="text1"/>
          <w:sz w:val="28"/>
          <w:szCs w:val="28"/>
          <w14:textFill>
            <w14:solidFill>
              <w14:schemeClr w14:val="tx1"/>
            </w14:solidFill>
          </w14:textFill>
        </w:rPr>
        <w:t>级的两名学生联手</w:t>
      </w:r>
      <w:r>
        <w:rPr>
          <w:rFonts w:cs="仿宋_GB2312" w:asciiTheme="minorEastAsia" w:hAnsiTheme="minorEastAsia" w:eastAsiaTheme="minorEastAsia"/>
          <w:color w:val="000000" w:themeColor="text1"/>
          <w:sz w:val="28"/>
          <w:szCs w:val="28"/>
          <w14:textFill>
            <w14:solidFill>
              <w14:schemeClr w14:val="tx1"/>
            </w14:solidFill>
          </w14:textFill>
        </w:rPr>
        <w:t>17</w:t>
      </w:r>
      <w:r>
        <w:rPr>
          <w:rFonts w:hint="eastAsia" w:cs="仿宋_GB2312" w:asciiTheme="minorEastAsia" w:hAnsiTheme="minorEastAsia" w:eastAsiaTheme="minorEastAsia"/>
          <w:color w:val="000000" w:themeColor="text1"/>
          <w:sz w:val="28"/>
          <w:szCs w:val="28"/>
          <w14:textFill>
            <w14:solidFill>
              <w14:schemeClr w14:val="tx1"/>
            </w14:solidFill>
          </w14:textFill>
        </w:rPr>
        <w:t>级的三名学生战胜了来自国内、国外众多知名高校的</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对</w:t>
      </w:r>
      <w:r>
        <w:rPr>
          <w:rFonts w:hint="eastAsia" w:cs="仿宋_GB2312" w:asciiTheme="minorEastAsia" w:hAnsiTheme="minorEastAsia" w:eastAsiaTheme="minorEastAsia"/>
          <w:color w:val="000000" w:themeColor="text1"/>
          <w:sz w:val="28"/>
          <w:szCs w:val="28"/>
          <w14:textFill>
            <w14:solidFill>
              <w14:schemeClr w14:val="tx1"/>
            </w14:solidFill>
          </w14:textFill>
        </w:rPr>
        <w:t>手们，获得戏剧组二等奖的好成绩，此成绩</w:t>
      </w:r>
      <w:r>
        <w:rPr>
          <w:rFonts w:hint="eastAsia" w:cs="仿宋_GB2312" w:asciiTheme="minorEastAsia" w:hAnsiTheme="minorEastAsia" w:eastAsiaTheme="minorEastAsia"/>
          <w:sz w:val="28"/>
          <w:szCs w:val="28"/>
        </w:rPr>
        <w:t>为俄语专业迄今以来的最好成绩。</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19</w:t>
      </w:r>
      <w:r>
        <w:rPr>
          <w:rFonts w:hint="eastAsia" w:cs="仿宋_GB2312" w:asciiTheme="minorEastAsia" w:hAnsiTheme="minorEastAsia" w:eastAsiaTheme="minorEastAsia"/>
          <w:sz w:val="28"/>
          <w:szCs w:val="28"/>
        </w:rPr>
        <w:t>年</w:t>
      </w:r>
      <w:r>
        <w:rPr>
          <w:rFonts w:cs="仿宋_GB2312" w:asciiTheme="minorEastAsia" w:hAnsiTheme="minorEastAsia" w:eastAsiaTheme="minorEastAsia"/>
          <w:sz w:val="28"/>
          <w:szCs w:val="28"/>
        </w:rPr>
        <w:t>6</w:t>
      </w:r>
      <w:r>
        <w:rPr>
          <w:rFonts w:hint="eastAsia" w:cs="仿宋_GB2312" w:asciiTheme="minorEastAsia" w:hAnsiTheme="minorEastAsia" w:eastAsiaTheme="minorEastAsia"/>
          <w:sz w:val="28"/>
          <w:szCs w:val="28"/>
        </w:rPr>
        <w:t>月在我市举行的</w:t>
      </w:r>
      <w:r>
        <w:rPr>
          <w:rFonts w:cs="仿宋_GB2312" w:asciiTheme="minorEastAsia" w:hAnsiTheme="minorEastAsia" w:eastAsiaTheme="minorEastAsia"/>
          <w:sz w:val="28"/>
          <w:szCs w:val="28"/>
        </w:rPr>
        <w:t>2019</w:t>
      </w:r>
      <w:r>
        <w:rPr>
          <w:rFonts w:hint="eastAsia" w:cs="仿宋_GB2312" w:asciiTheme="minorEastAsia" w:hAnsiTheme="minorEastAsia" w:eastAsiaTheme="minorEastAsia"/>
          <w:sz w:val="28"/>
          <w:szCs w:val="28"/>
        </w:rPr>
        <w:t>兴凯湖中俄摇滚马拉松比赛中，</w:t>
      </w:r>
      <w:r>
        <w:rPr>
          <w:rFonts w:cs="仿宋_GB2312" w:asciiTheme="minorEastAsia" w:hAnsiTheme="minorEastAsia" w:eastAsiaTheme="minorEastAsia"/>
          <w:sz w:val="28"/>
          <w:szCs w:val="28"/>
        </w:rPr>
        <w:t>18</w:t>
      </w:r>
      <w:r>
        <w:rPr>
          <w:rFonts w:hint="eastAsia" w:cs="仿宋_GB2312" w:asciiTheme="minorEastAsia" w:hAnsiTheme="minorEastAsia" w:eastAsiaTheme="minorEastAsia"/>
          <w:sz w:val="28"/>
          <w:szCs w:val="28"/>
        </w:rPr>
        <w:t>级派出了</w:t>
      </w:r>
      <w:r>
        <w:rPr>
          <w:rFonts w:cs="仿宋_GB2312" w:asciiTheme="minorEastAsia" w:hAnsiTheme="minorEastAsia" w:eastAsiaTheme="minorEastAsia"/>
          <w:sz w:val="28"/>
          <w:szCs w:val="28"/>
        </w:rPr>
        <w:t>30</w:t>
      </w:r>
      <w:r>
        <w:rPr>
          <w:rFonts w:hint="eastAsia" w:cs="仿宋_GB2312" w:asciiTheme="minorEastAsia" w:hAnsiTheme="minorEastAsia" w:eastAsiaTheme="minorEastAsia"/>
          <w:sz w:val="28"/>
          <w:szCs w:val="28"/>
        </w:rPr>
        <w:t>名志愿者，他们以高水平的专业素质和优秀的道德品质得到了社会各界的广泛好评。</w:t>
      </w:r>
    </w:p>
    <w:p>
      <w:pPr>
        <w:pStyle w:val="2"/>
        <w:adjustRightInd w:val="0"/>
        <w:snapToGrid w:val="0"/>
        <w:spacing w:line="360" w:lineRule="auto"/>
        <w:ind w:firstLine="640"/>
      </w:pPr>
      <w:bookmarkStart w:id="113" w:name="_Toc5746"/>
      <w:bookmarkStart w:id="114" w:name="_Toc8454"/>
      <w:bookmarkStart w:id="115" w:name="_Toc24066"/>
      <w:bookmarkStart w:id="116" w:name="_Toc12481"/>
      <w:r>
        <w:rPr>
          <w:rFonts w:hint="eastAsia"/>
        </w:rPr>
        <w:t>五、教学质量保障</w:t>
      </w:r>
      <w:bookmarkEnd w:id="113"/>
      <w:bookmarkEnd w:id="114"/>
      <w:bookmarkEnd w:id="115"/>
      <w:bookmarkEnd w:id="116"/>
    </w:p>
    <w:p>
      <w:pPr>
        <w:pStyle w:val="3"/>
        <w:spacing w:line="360" w:lineRule="auto"/>
        <w:ind w:firstLine="560"/>
      </w:pPr>
      <w:bookmarkStart w:id="117" w:name="_Toc28902"/>
      <w:bookmarkStart w:id="118" w:name="_Toc18058"/>
      <w:bookmarkStart w:id="119" w:name="_Toc338883191"/>
      <w:bookmarkStart w:id="120" w:name="_Toc20508"/>
      <w:bookmarkStart w:id="121" w:name="_Toc32114"/>
      <w:r>
        <w:rPr>
          <w:rFonts w:hint="eastAsia"/>
        </w:rPr>
        <w:t>（一）教学质量监控与评价体系建设</w:t>
      </w:r>
      <w:bookmarkEnd w:id="117"/>
      <w:bookmarkEnd w:id="118"/>
      <w:bookmarkEnd w:id="119"/>
      <w:bookmarkEnd w:id="120"/>
      <w:bookmarkEnd w:id="121"/>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俄语专业本科教学质量标准首先基于教育部制定的《高等学校俄语专业教学大纲》，对于人才培养目标、规格、课程设置等有详细明确的规定。其次，</w:t>
      </w:r>
      <w:r>
        <w:rPr>
          <w:rFonts w:hint="eastAsia" w:cs="仿宋_GB2312" w:asciiTheme="minorEastAsia" w:hAnsiTheme="minorEastAsia" w:eastAsiaTheme="minorEastAsia"/>
          <w:sz w:val="28"/>
          <w:szCs w:val="28"/>
          <w:lang w:val="en-US" w:eastAsia="zh-CN"/>
        </w:rPr>
        <w:t>俄语专业</w:t>
      </w:r>
      <w:r>
        <w:rPr>
          <w:rFonts w:hint="eastAsia" w:cs="仿宋_GB2312" w:asciiTheme="minorEastAsia" w:hAnsiTheme="minorEastAsia" w:eastAsiaTheme="minorEastAsia"/>
          <w:sz w:val="28"/>
          <w:szCs w:val="28"/>
        </w:rPr>
        <w:t>人才培养方案</w:t>
      </w:r>
      <w:r>
        <w:rPr>
          <w:rFonts w:hint="eastAsia" w:cs="仿宋_GB2312" w:asciiTheme="minorEastAsia" w:hAnsiTheme="minorEastAsia" w:eastAsiaTheme="minorEastAsia"/>
          <w:sz w:val="28"/>
          <w:szCs w:val="28"/>
          <w:lang w:val="en-US" w:eastAsia="zh-CN"/>
        </w:rPr>
        <w:t>从多个角度对于</w:t>
      </w:r>
      <w:r>
        <w:rPr>
          <w:rFonts w:hint="eastAsia" w:cs="仿宋_GB2312" w:asciiTheme="minorEastAsia" w:hAnsiTheme="minorEastAsia" w:eastAsiaTheme="minorEastAsia"/>
          <w:sz w:val="28"/>
          <w:szCs w:val="28"/>
        </w:rPr>
        <w:t>人才培养目标</w:t>
      </w:r>
      <w:r>
        <w:rPr>
          <w:rFonts w:hint="eastAsia" w:cs="仿宋_GB2312" w:asciiTheme="minorEastAsia" w:hAnsiTheme="minorEastAsia" w:eastAsiaTheme="minorEastAsia"/>
          <w:sz w:val="28"/>
          <w:szCs w:val="28"/>
          <w:lang w:val="en-US" w:eastAsia="zh-CN"/>
        </w:rPr>
        <w:t>设置了规定的标准，</w:t>
      </w:r>
      <w:r>
        <w:rPr>
          <w:rFonts w:hint="eastAsia" w:cs="仿宋_GB2312" w:asciiTheme="minorEastAsia" w:hAnsiTheme="minorEastAsia" w:eastAsiaTheme="minorEastAsia"/>
          <w:sz w:val="28"/>
          <w:szCs w:val="28"/>
        </w:rPr>
        <w:t>例如</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学生应达到的思想品德、能力、知识、素质</w:t>
      </w:r>
      <w:r>
        <w:rPr>
          <w:rFonts w:hint="eastAsia" w:cs="仿宋_GB2312" w:asciiTheme="minorEastAsia" w:hAnsiTheme="minorEastAsia" w:eastAsiaTheme="minorEastAsia"/>
          <w:sz w:val="28"/>
          <w:szCs w:val="28"/>
          <w:lang w:val="en-US" w:eastAsia="zh-CN"/>
        </w:rPr>
        <w:t>标准等。而</w:t>
      </w:r>
      <w:r>
        <w:rPr>
          <w:rFonts w:hint="eastAsia" w:cs="仿宋_GB2312" w:asciiTheme="minorEastAsia" w:hAnsiTheme="minorEastAsia" w:eastAsiaTheme="minorEastAsia"/>
          <w:sz w:val="28"/>
          <w:szCs w:val="28"/>
        </w:rPr>
        <w:t>课程教学大纲</w:t>
      </w:r>
      <w:r>
        <w:rPr>
          <w:rFonts w:hint="eastAsia" w:cs="仿宋_GB2312" w:asciiTheme="minorEastAsia" w:hAnsiTheme="minorEastAsia" w:eastAsiaTheme="minorEastAsia"/>
          <w:sz w:val="28"/>
          <w:szCs w:val="28"/>
          <w:lang w:val="en-US" w:eastAsia="zh-CN"/>
        </w:rPr>
        <w:t>中也详细</w:t>
      </w:r>
      <w:r>
        <w:rPr>
          <w:rFonts w:hint="eastAsia" w:cs="仿宋_GB2312" w:asciiTheme="minorEastAsia" w:hAnsiTheme="minorEastAsia" w:eastAsiaTheme="minorEastAsia"/>
          <w:sz w:val="28"/>
          <w:szCs w:val="28"/>
        </w:rPr>
        <w:t>规定了</w:t>
      </w:r>
      <w:r>
        <w:rPr>
          <w:rFonts w:hint="eastAsia" w:cs="仿宋_GB2312" w:asciiTheme="minorEastAsia" w:hAnsiTheme="minorEastAsia" w:eastAsiaTheme="minorEastAsia"/>
          <w:sz w:val="28"/>
          <w:szCs w:val="28"/>
          <w:lang w:val="en-US" w:eastAsia="zh-CN"/>
        </w:rPr>
        <w:t>每门</w:t>
      </w:r>
      <w:r>
        <w:rPr>
          <w:rFonts w:hint="eastAsia" w:cs="仿宋_GB2312" w:asciiTheme="minorEastAsia" w:hAnsiTheme="minorEastAsia" w:eastAsiaTheme="minorEastAsia"/>
          <w:sz w:val="28"/>
          <w:szCs w:val="28"/>
        </w:rPr>
        <w:t>课程需要达到的</w:t>
      </w:r>
      <w:r>
        <w:rPr>
          <w:rFonts w:hint="eastAsia" w:cs="仿宋_GB2312" w:asciiTheme="minorEastAsia" w:hAnsiTheme="minorEastAsia" w:eastAsiaTheme="minorEastAsia"/>
          <w:sz w:val="28"/>
          <w:szCs w:val="28"/>
          <w:lang w:val="en-US" w:eastAsia="zh-CN"/>
        </w:rPr>
        <w:t>目标</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学院</w:t>
      </w:r>
      <w:r>
        <w:rPr>
          <w:rFonts w:hint="eastAsia" w:cs="仿宋_GB2312" w:asciiTheme="minorEastAsia" w:hAnsiTheme="minorEastAsia" w:eastAsiaTheme="minorEastAsia"/>
          <w:sz w:val="28"/>
          <w:szCs w:val="28"/>
        </w:rPr>
        <w:t>通过</w:t>
      </w:r>
      <w:r>
        <w:rPr>
          <w:rFonts w:hint="eastAsia" w:cs="仿宋_GB2312" w:asciiTheme="minorEastAsia" w:hAnsiTheme="minorEastAsia" w:eastAsiaTheme="minorEastAsia"/>
          <w:sz w:val="28"/>
          <w:szCs w:val="28"/>
          <w:lang w:val="en-US" w:eastAsia="zh-CN"/>
        </w:rPr>
        <w:t>各项监督制度</w:t>
      </w:r>
      <w:r>
        <w:rPr>
          <w:rFonts w:hint="eastAsia" w:cs="仿宋_GB2312" w:asciiTheme="minorEastAsia" w:hAnsiTheme="minorEastAsia" w:eastAsiaTheme="minorEastAsia"/>
          <w:sz w:val="28"/>
          <w:szCs w:val="28"/>
        </w:rPr>
        <w:t>保障</w:t>
      </w:r>
      <w:r>
        <w:rPr>
          <w:rFonts w:hint="eastAsia" w:cs="仿宋_GB2312" w:asciiTheme="minorEastAsia" w:hAnsiTheme="minorEastAsia" w:eastAsiaTheme="minorEastAsia"/>
          <w:sz w:val="28"/>
          <w:szCs w:val="28"/>
          <w:lang w:val="en-US" w:eastAsia="zh-CN"/>
        </w:rPr>
        <w:t>教学过程的顺利进行，从而达到人才培养方案的既定</w:t>
      </w:r>
      <w:r>
        <w:rPr>
          <w:rFonts w:hint="eastAsia" w:cs="仿宋_GB2312" w:asciiTheme="minorEastAsia" w:hAnsiTheme="minorEastAsia" w:eastAsiaTheme="minorEastAsia"/>
          <w:sz w:val="28"/>
          <w:szCs w:val="28"/>
        </w:rPr>
        <w:t>目</w:t>
      </w:r>
      <w:r>
        <w:rPr>
          <w:rFonts w:hint="eastAsia" w:cs="仿宋_GB2312" w:asciiTheme="minorEastAsia" w:hAnsiTheme="minorEastAsia" w:eastAsiaTheme="minorEastAsia"/>
          <w:color w:val="000000" w:themeColor="text1"/>
          <w:sz w:val="28"/>
          <w:szCs w:val="28"/>
          <w14:textFill>
            <w14:solidFill>
              <w14:schemeClr w14:val="tx1"/>
            </w14:solidFill>
          </w14:textFill>
        </w:rPr>
        <w:t>标，通</w:t>
      </w:r>
      <w:r>
        <w:rPr>
          <w:rFonts w:hint="eastAsia" w:cs="仿宋_GB2312" w:asciiTheme="minorEastAsia" w:hAnsiTheme="minorEastAsia" w:eastAsiaTheme="minorEastAsia"/>
          <w:sz w:val="28"/>
          <w:szCs w:val="28"/>
        </w:rPr>
        <w:t>过质量监控，使</w:t>
      </w:r>
      <w:r>
        <w:rPr>
          <w:rFonts w:hint="eastAsia" w:cs="仿宋_GB2312" w:asciiTheme="minorEastAsia" w:hAnsiTheme="minorEastAsia" w:eastAsiaTheme="minorEastAsia"/>
          <w:sz w:val="28"/>
          <w:szCs w:val="28"/>
          <w:lang w:val="en-US" w:eastAsia="zh-CN"/>
        </w:rPr>
        <w:t>教学中</w:t>
      </w:r>
      <w:r>
        <w:rPr>
          <w:rFonts w:hint="eastAsia" w:cs="仿宋_GB2312" w:asciiTheme="minorEastAsia" w:hAnsiTheme="minorEastAsia" w:eastAsiaTheme="minorEastAsia"/>
          <w:sz w:val="28"/>
          <w:szCs w:val="28"/>
        </w:rPr>
        <w:t>各个环节的质量</w:t>
      </w:r>
      <w:r>
        <w:rPr>
          <w:rFonts w:hint="eastAsia" w:cs="仿宋_GB2312" w:asciiTheme="minorEastAsia" w:hAnsiTheme="minorEastAsia" w:eastAsiaTheme="minorEastAsia"/>
          <w:sz w:val="28"/>
          <w:szCs w:val="28"/>
          <w:lang w:val="en-US" w:eastAsia="zh-CN"/>
        </w:rPr>
        <w:t>都</w:t>
      </w:r>
      <w:r>
        <w:rPr>
          <w:rFonts w:hint="eastAsia" w:cs="仿宋_GB2312" w:asciiTheme="minorEastAsia" w:hAnsiTheme="minorEastAsia" w:eastAsiaTheme="minorEastAsia"/>
          <w:sz w:val="28"/>
          <w:szCs w:val="28"/>
        </w:rPr>
        <w:t>处于有效的被监控状态，</w:t>
      </w:r>
      <w:r>
        <w:rPr>
          <w:rFonts w:hint="eastAsia" w:cs="仿宋_GB2312" w:asciiTheme="minorEastAsia" w:hAnsiTheme="minorEastAsia" w:eastAsiaTheme="minorEastAsia"/>
          <w:sz w:val="28"/>
          <w:szCs w:val="28"/>
          <w:lang w:val="en-US" w:eastAsia="zh-CN"/>
        </w:rPr>
        <w:t>从根本上</w:t>
      </w:r>
      <w:r>
        <w:rPr>
          <w:rFonts w:hint="eastAsia" w:cs="仿宋_GB2312" w:asciiTheme="minorEastAsia" w:hAnsiTheme="minorEastAsia" w:eastAsiaTheme="minorEastAsia"/>
          <w:sz w:val="28"/>
          <w:szCs w:val="28"/>
        </w:rPr>
        <w:t>促进整体教学质量提升。</w:t>
      </w:r>
    </w:p>
    <w:p>
      <w:pPr>
        <w:pStyle w:val="3"/>
        <w:spacing w:line="360" w:lineRule="auto"/>
        <w:ind w:firstLine="560"/>
      </w:pPr>
      <w:bookmarkStart w:id="122" w:name="_Toc29752"/>
      <w:bookmarkStart w:id="123" w:name="_Toc21376"/>
      <w:bookmarkStart w:id="124" w:name="_Toc32000"/>
      <w:bookmarkStart w:id="125" w:name="_Toc338883192"/>
      <w:bookmarkStart w:id="126" w:name="_Toc15863"/>
      <w:r>
        <w:rPr>
          <w:rFonts w:hint="eastAsia"/>
        </w:rPr>
        <w:t>（二）教学规章制度建设与执行</w:t>
      </w:r>
      <w:bookmarkEnd w:id="122"/>
      <w:bookmarkEnd w:id="123"/>
      <w:bookmarkEnd w:id="124"/>
      <w:bookmarkEnd w:id="125"/>
      <w:bookmarkEnd w:id="126"/>
    </w:p>
    <w:p>
      <w:pPr>
        <w:pStyle w:val="4"/>
        <w:spacing w:line="360" w:lineRule="auto"/>
        <w:ind w:firstLine="562"/>
      </w:pPr>
      <w:bookmarkStart w:id="127" w:name="_Toc21770"/>
      <w:bookmarkStart w:id="128" w:name="_Toc27417"/>
      <w:r>
        <w:rPr>
          <w:rFonts w:hint="eastAsia"/>
        </w:rPr>
        <w:t>1. 健全的教学管理制度</w:t>
      </w:r>
      <w:bookmarkEnd w:id="127"/>
      <w:bookmarkEnd w:id="128"/>
    </w:p>
    <w:p>
      <w:pPr>
        <w:adjustRightInd w:val="0"/>
        <w:snapToGrid w:val="0"/>
        <w:spacing w:beforeAutospacing="0" w:afterAutospacing="0" w:line="360" w:lineRule="auto"/>
        <w:ind w:firstLine="560" w:firstLineChars="200"/>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pPr>
      <w:r>
        <w:rPr>
          <w:rFonts w:hint="eastAsia" w:cs="仿宋_GB2312" w:asciiTheme="minorEastAsia" w:hAnsiTheme="minorEastAsia" w:eastAsiaTheme="minorEastAsia"/>
          <w:sz w:val="28"/>
          <w:szCs w:val="28"/>
        </w:rPr>
        <w:t>学院制订了健全的教学管理制度，并汇编成册，对教学全过程的管理工作制订了较为详尽的工作规范，提出明确的工作要求。俄语教研室根据学院有关要</w:t>
      </w:r>
      <w:r>
        <w:rPr>
          <w:rFonts w:hint="eastAsia" w:cs="仿宋_GB2312" w:asciiTheme="minorEastAsia" w:hAnsiTheme="minorEastAsia" w:eastAsiaTheme="minorEastAsia"/>
          <w:color w:val="000000" w:themeColor="text1"/>
          <w:sz w:val="28"/>
          <w:szCs w:val="28"/>
          <w14:textFill>
            <w14:solidFill>
              <w14:schemeClr w14:val="tx1"/>
            </w14:solidFill>
          </w14:textFill>
        </w:rPr>
        <w:t>求，制定了本教研室具体的教学管理制度</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w:t>
      </w:r>
    </w:p>
    <w:p>
      <w:pPr>
        <w:adjustRightInd w:val="0"/>
        <w:snapToGrid w:val="0"/>
        <w:spacing w:beforeAutospacing="0" w:afterAutospacing="0" w:line="360" w:lineRule="auto"/>
        <w:ind w:firstLine="560" w:firstLineChars="200"/>
        <w:rPr>
          <w:rFonts w:cs="仿宋_GB2312" w:asciiTheme="minorEastAsia" w:hAnsiTheme="minorEastAsia" w:eastAsiaTheme="minorEastAsia"/>
          <w:bCs/>
          <w:sz w:val="28"/>
          <w:szCs w:val="28"/>
        </w:rPr>
      </w:pPr>
      <w:r>
        <w:rPr>
          <w:rFonts w:hint="eastAsia" w:cs="仿宋_GB2312" w:asciiTheme="minorEastAsia" w:hAnsiTheme="minorEastAsia" w:eastAsiaTheme="minorEastAsia"/>
          <w:bCs/>
          <w:sz w:val="28"/>
          <w:szCs w:val="28"/>
        </w:rPr>
        <w:t>（1）听课制度</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为进一步加强本科教学过程的质量管理，完善教学信息反馈系统和教学质量的监控机制，实行领导听课与</w:t>
      </w:r>
      <w:r>
        <w:rPr>
          <w:rFonts w:hint="eastAsia" w:cs="仿宋_GB2312" w:asciiTheme="minorEastAsia" w:hAnsiTheme="minorEastAsia" w:eastAsiaTheme="minorEastAsia"/>
          <w:sz w:val="28"/>
          <w:szCs w:val="28"/>
          <w:lang w:val="en-US" w:eastAsia="zh-CN"/>
        </w:rPr>
        <w:t>教师互</w:t>
      </w:r>
      <w:r>
        <w:rPr>
          <w:rFonts w:hint="eastAsia" w:cs="仿宋_GB2312" w:asciiTheme="minorEastAsia" w:hAnsiTheme="minorEastAsia" w:eastAsiaTheme="minorEastAsia"/>
          <w:sz w:val="28"/>
          <w:szCs w:val="28"/>
        </w:rPr>
        <w:t>听课制度，</w:t>
      </w:r>
      <w:r>
        <w:rPr>
          <w:rFonts w:hint="eastAsia" w:cs="仿宋_GB2312" w:asciiTheme="minorEastAsia" w:hAnsiTheme="minorEastAsia" w:eastAsiaTheme="minorEastAsia"/>
          <w:sz w:val="28"/>
          <w:szCs w:val="28"/>
          <w:lang w:val="en-US" w:eastAsia="zh-CN"/>
        </w:rPr>
        <w:t>规定同一专业教师互相听课，并在课后</w:t>
      </w:r>
      <w:r>
        <w:rPr>
          <w:rFonts w:hint="eastAsia" w:cs="仿宋_GB2312" w:asciiTheme="minorEastAsia" w:hAnsiTheme="minorEastAsia" w:eastAsiaTheme="minorEastAsia"/>
          <w:sz w:val="28"/>
          <w:szCs w:val="28"/>
        </w:rPr>
        <w:t>进行集体评课并撰写教学反思与总结。</w:t>
      </w:r>
    </w:p>
    <w:p>
      <w:pPr>
        <w:adjustRightInd w:val="0"/>
        <w:snapToGrid w:val="0"/>
        <w:spacing w:beforeAutospacing="0" w:afterAutospacing="0" w:line="360" w:lineRule="auto"/>
        <w:ind w:firstLine="560" w:firstLineChars="200"/>
        <w:rPr>
          <w:rFonts w:cs="仿宋_GB2312" w:asciiTheme="minorEastAsia" w:hAnsiTheme="minorEastAsia" w:eastAsiaTheme="minorEastAsia"/>
          <w:bCs/>
          <w:sz w:val="28"/>
          <w:szCs w:val="28"/>
        </w:rPr>
      </w:pPr>
      <w:r>
        <w:rPr>
          <w:rFonts w:hint="eastAsia" w:cs="仿宋_GB2312" w:asciiTheme="minorEastAsia" w:hAnsiTheme="minorEastAsia" w:eastAsiaTheme="minorEastAsia"/>
          <w:bCs/>
          <w:sz w:val="28"/>
          <w:szCs w:val="28"/>
        </w:rPr>
        <w:t>（2）教案编写制度</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为提高教案编写质量，各教研室</w:t>
      </w:r>
      <w:r>
        <w:rPr>
          <w:rFonts w:hint="eastAsia" w:cs="仿宋_GB2312" w:asciiTheme="minorEastAsia" w:hAnsiTheme="minorEastAsia" w:eastAsiaTheme="minorEastAsia"/>
          <w:color w:val="000000" w:themeColor="text1"/>
          <w:sz w:val="28"/>
          <w:szCs w:val="28"/>
          <w14:textFill>
            <w14:solidFill>
              <w14:schemeClr w14:val="tx1"/>
            </w14:solidFill>
          </w14:textFill>
        </w:rPr>
        <w:t>或教研组组织教师集体备课，针</w:t>
      </w:r>
      <w:r>
        <w:rPr>
          <w:rFonts w:hint="eastAsia" w:cs="仿宋_GB2312" w:asciiTheme="minorEastAsia" w:hAnsiTheme="minorEastAsia" w:eastAsiaTheme="minorEastAsia"/>
          <w:sz w:val="28"/>
          <w:szCs w:val="28"/>
        </w:rPr>
        <w:t>对教学内容中的重点和难点、教学进度、教学方法和手段以及考试环节等方面进行深入</w:t>
      </w:r>
      <w:r>
        <w:rPr>
          <w:rFonts w:hint="eastAsia" w:cs="仿宋_GB2312" w:asciiTheme="minorEastAsia" w:hAnsiTheme="minorEastAsia" w:eastAsiaTheme="minorEastAsia"/>
          <w:sz w:val="28"/>
          <w:szCs w:val="28"/>
          <w:lang w:val="en-US" w:eastAsia="zh-CN"/>
        </w:rPr>
        <w:t>地</w:t>
      </w:r>
      <w:r>
        <w:rPr>
          <w:rFonts w:hint="eastAsia" w:cs="仿宋_GB2312" w:asciiTheme="minorEastAsia" w:hAnsiTheme="minorEastAsia" w:eastAsiaTheme="minorEastAsia"/>
          <w:sz w:val="28"/>
          <w:szCs w:val="28"/>
        </w:rPr>
        <w:t>研究，确定统一的教学进度和教学重点</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教研室主任负责教案的检查工作，每学期开学初对任课教师的教案进行全面检查，要求教师必须完成1/2教学任务的教案，旧教案要及时更新，</w:t>
      </w:r>
      <w:r>
        <w:rPr>
          <w:rFonts w:hint="eastAsia" w:cs="仿宋_GB2312" w:asciiTheme="minorEastAsia" w:hAnsiTheme="minorEastAsia" w:eastAsiaTheme="minorEastAsia"/>
          <w:color w:val="000000" w:themeColor="text1"/>
          <w:sz w:val="28"/>
          <w:szCs w:val="28"/>
          <w14:textFill>
            <w14:solidFill>
              <w14:schemeClr w14:val="tx1"/>
            </w14:solidFill>
          </w14:textFill>
        </w:rPr>
        <w:t>对不合格教案进行跟踪检查</w:t>
      </w:r>
      <w:r>
        <w:rPr>
          <w:rFonts w:hint="eastAsia" w:cs="仿宋_GB2312" w:asciiTheme="minorEastAsia" w:hAnsiTheme="minorEastAsia" w:eastAsiaTheme="minorEastAsia"/>
          <w:sz w:val="28"/>
          <w:szCs w:val="28"/>
        </w:rPr>
        <w:t>。学院制定了教案评比制度，每年进行一次教案评比活动，对优秀教案撰</w:t>
      </w:r>
      <w:r>
        <w:rPr>
          <w:rFonts w:hint="eastAsia" w:cs="仿宋_GB2312" w:asciiTheme="minorEastAsia" w:hAnsiTheme="minorEastAsia" w:eastAsiaTheme="minorEastAsia"/>
          <w:color w:val="000000" w:themeColor="text1"/>
          <w:sz w:val="28"/>
          <w:szCs w:val="28"/>
          <w14:textFill>
            <w14:solidFill>
              <w14:schemeClr w14:val="tx1"/>
            </w14:solidFill>
          </w14:textFill>
        </w:rPr>
        <w:t>写教师予以</w:t>
      </w:r>
      <w:r>
        <w:rPr>
          <w:rFonts w:hint="eastAsia" w:cs="仿宋_GB2312" w:asciiTheme="minorEastAsia" w:hAnsiTheme="minorEastAsia" w:eastAsiaTheme="minorEastAsia"/>
          <w:sz w:val="28"/>
          <w:szCs w:val="28"/>
        </w:rPr>
        <w:t>奖励，并在院内公开展示，起到了良好的示范作用。</w:t>
      </w:r>
    </w:p>
    <w:p>
      <w:pPr>
        <w:adjustRightInd w:val="0"/>
        <w:snapToGrid w:val="0"/>
        <w:spacing w:beforeAutospacing="0" w:afterAutospacing="0" w:line="360" w:lineRule="auto"/>
        <w:ind w:firstLine="560" w:firstLineChars="200"/>
        <w:rPr>
          <w:rFonts w:cs="仿宋_GB2312" w:asciiTheme="minorEastAsia" w:hAnsiTheme="minorEastAsia" w:eastAsiaTheme="minorEastAsia"/>
          <w:bCs/>
          <w:sz w:val="28"/>
          <w:szCs w:val="28"/>
        </w:rPr>
      </w:pPr>
      <w:r>
        <w:rPr>
          <w:rFonts w:hint="eastAsia" w:cs="仿宋_GB2312" w:asciiTheme="minorEastAsia" w:hAnsiTheme="minorEastAsia" w:eastAsiaTheme="minorEastAsia"/>
          <w:bCs/>
          <w:sz w:val="28"/>
          <w:szCs w:val="28"/>
        </w:rPr>
        <w:t>（3）作业批改制度</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根据学院规定，教研室制定了作业批改制度</w:t>
      </w:r>
      <w:r>
        <w:rPr>
          <w:rFonts w:hint="eastAsia" w:cs="仿宋_GB2312" w:asciiTheme="minorEastAsia" w:hAnsiTheme="minorEastAsia" w:eastAsiaTheme="minorEastAsia"/>
          <w:color w:val="000000" w:themeColor="text1"/>
          <w:sz w:val="28"/>
          <w:szCs w:val="28"/>
          <w14:textFill>
            <w14:solidFill>
              <w14:schemeClr w14:val="tx1"/>
            </w14:solidFill>
          </w14:textFill>
        </w:rPr>
        <w:t>，教研室定期对</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授课</w:t>
      </w:r>
      <w:r>
        <w:rPr>
          <w:rFonts w:hint="eastAsia" w:cs="仿宋_GB2312" w:asciiTheme="minorEastAsia" w:hAnsiTheme="minorEastAsia" w:eastAsiaTheme="minorEastAsia"/>
          <w:color w:val="000000" w:themeColor="text1"/>
          <w:sz w:val="28"/>
          <w:szCs w:val="28"/>
          <w14:textFill>
            <w14:solidFill>
              <w14:schemeClr w14:val="tx1"/>
            </w14:solidFill>
          </w14:textFill>
        </w:rPr>
        <w:t>课教师批改的作业进行抽查，了解各个教师作业批改情况，并进行阶段性反馈，提出整改意见和建议。学生的平时作业成绩作为课程成绩考核的内容之一，按一定比例计入期末总成绩。凡不能按教师要求完成作业的学生，按平时成绩</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的</w:t>
      </w:r>
      <w:r>
        <w:rPr>
          <w:rFonts w:hint="eastAsia" w:cs="仿宋_GB2312" w:asciiTheme="minorEastAsia" w:hAnsiTheme="minorEastAsia" w:eastAsiaTheme="minorEastAsia"/>
          <w:color w:val="000000" w:themeColor="text1"/>
          <w:sz w:val="28"/>
          <w:szCs w:val="28"/>
          <w14:textFill>
            <w14:solidFill>
              <w14:schemeClr w14:val="tx1"/>
            </w14:solidFill>
          </w14:textFill>
        </w:rPr>
        <w:t>要求扣分，对抄袭或缺交作业次数达该课程全</w:t>
      </w:r>
      <w:r>
        <w:rPr>
          <w:rFonts w:hint="eastAsia" w:cs="仿宋_GB2312" w:asciiTheme="minorEastAsia" w:hAnsiTheme="minorEastAsia" w:eastAsiaTheme="minorEastAsia"/>
          <w:sz w:val="28"/>
          <w:szCs w:val="28"/>
        </w:rPr>
        <w:t>学期作业总次数三分之一以上的学生，不允许参加该课程的考试。</w:t>
      </w:r>
    </w:p>
    <w:p>
      <w:pPr>
        <w:pStyle w:val="4"/>
        <w:numPr>
          <w:ilvl w:val="0"/>
          <w:numId w:val="11"/>
        </w:numPr>
        <w:spacing w:line="360" w:lineRule="auto"/>
        <w:ind w:firstLine="562"/>
      </w:pPr>
      <w:bookmarkStart w:id="129" w:name="_Toc18778"/>
      <w:bookmarkStart w:id="130" w:name="_Toc9609"/>
      <w:r>
        <w:rPr>
          <w:rFonts w:hint="eastAsia"/>
        </w:rPr>
        <w:t>命题、试卷评阅及质量分析规定</w:t>
      </w:r>
      <w:bookmarkEnd w:id="129"/>
      <w:bookmarkEnd w:id="130"/>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按照出题思路、试题内容覆盖面、能力考核、试题结构、试题表述、试题题量及难易程度、试题重复率、参考答案及评分标准、评卷准确性和核分出错率、成绩分布和试题分析等一系列指标提出明确要求和考核标准。</w:t>
      </w:r>
    </w:p>
    <w:p>
      <w:pPr>
        <w:pStyle w:val="3"/>
        <w:spacing w:line="360" w:lineRule="auto"/>
        <w:ind w:firstLine="560"/>
      </w:pPr>
      <w:bookmarkStart w:id="131" w:name="_Toc18160"/>
      <w:bookmarkStart w:id="132" w:name="_Toc8530"/>
      <w:bookmarkStart w:id="133" w:name="_Toc27413"/>
      <w:bookmarkStart w:id="134" w:name="_Toc12414"/>
      <w:r>
        <w:rPr>
          <w:rFonts w:hint="eastAsia"/>
        </w:rPr>
        <w:t>（三）严格的管理制度，有序的工作流程</w:t>
      </w:r>
      <w:bookmarkEnd w:id="131"/>
      <w:bookmarkEnd w:id="132"/>
      <w:bookmarkEnd w:id="133"/>
      <w:bookmarkEnd w:id="134"/>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俄语教研室始终严格执行学院的管理制度，对教学大纲的制定、教案的准备、集体备课、调串课、考试命题、考务、阅卷、成绩管理等进行严格的审核与检查，严格执行各种工作流程，教学运行稳定有序。多年来，教师无一人出现过教学事故。</w:t>
      </w:r>
    </w:p>
    <w:p>
      <w:pPr>
        <w:pStyle w:val="3"/>
        <w:spacing w:line="360" w:lineRule="auto"/>
        <w:ind w:firstLine="560"/>
      </w:pPr>
      <w:bookmarkStart w:id="135" w:name="_Toc28179"/>
      <w:bookmarkStart w:id="136" w:name="_Toc9924"/>
      <w:bookmarkStart w:id="137" w:name="_Toc15123"/>
      <w:bookmarkStart w:id="138" w:name="_Toc32367"/>
      <w:r>
        <w:rPr>
          <w:rFonts w:hint="eastAsia"/>
        </w:rPr>
        <w:t>（四）教学质量监控与评价体系完善</w:t>
      </w:r>
      <w:bookmarkEnd w:id="135"/>
      <w:bookmarkEnd w:id="136"/>
      <w:bookmarkEnd w:id="137"/>
      <w:bookmarkEnd w:id="138"/>
    </w:p>
    <w:p>
      <w:pPr>
        <w:adjustRightInd w:val="0"/>
        <w:snapToGrid w:val="0"/>
        <w:spacing w:beforeAutospacing="0" w:afterAutospacing="0" w:line="360" w:lineRule="auto"/>
        <w:ind w:firstLine="560"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sz w:val="28"/>
          <w:szCs w:val="28"/>
        </w:rPr>
        <w:t>完整的教学质量评价体系，能够较为准确的把握教师教学质量和学生学习情况，促进教学质量提升。例行听课制度，持续监控课堂教学质量，根据学院质量监控体系，学院主任、教研室主任每月除按要求完成听课任务外，实时监控课堂教学质量，及时分析和反馈教学质量</w:t>
      </w:r>
      <w:r>
        <w:rPr>
          <w:rFonts w:hint="eastAsia" w:cs="仿宋_GB2312" w:asciiTheme="minorEastAsia" w:hAnsiTheme="minorEastAsia" w:eastAsiaTheme="minorEastAsia"/>
          <w:color w:val="000000" w:themeColor="text1"/>
          <w:sz w:val="28"/>
          <w:szCs w:val="28"/>
          <w14:textFill>
            <w14:solidFill>
              <w14:schemeClr w14:val="tx1"/>
            </w14:solidFill>
          </w14:textFill>
        </w:rPr>
        <w:t>，保障并持续改进教学质量。</w:t>
      </w:r>
    </w:p>
    <w:p>
      <w:pPr>
        <w:pStyle w:val="3"/>
        <w:spacing w:line="360" w:lineRule="auto"/>
        <w:ind w:firstLine="560"/>
      </w:pPr>
      <w:bookmarkStart w:id="139" w:name="_Toc16382"/>
      <w:bookmarkStart w:id="140" w:name="_Toc22686"/>
      <w:bookmarkStart w:id="141" w:name="_Toc26328"/>
      <w:bookmarkStart w:id="142" w:name="_Toc26553"/>
      <w:r>
        <w:rPr>
          <w:rFonts w:hint="eastAsia"/>
        </w:rPr>
        <w:t>（五）定期进行教学诊断</w:t>
      </w:r>
      <w:bookmarkEnd w:id="139"/>
      <w:bookmarkEnd w:id="140"/>
      <w:bookmarkEnd w:id="141"/>
      <w:bookmarkEnd w:id="142"/>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除了按要求开展听课活动外，学院还大力开展听课诊断活动，一是要求新入职教师听老教师的课进行自身诊断；二是年青教师讲授公开课进行集体诊断；三是优秀教师举办示范课进行启发诊断。引导教师查找自身授课的缺点与不足，从而远离“水课”，向“金课”的标准看齐并做出努力。</w:t>
      </w:r>
    </w:p>
    <w:p>
      <w:pPr>
        <w:pStyle w:val="2"/>
        <w:adjustRightInd w:val="0"/>
        <w:snapToGrid w:val="0"/>
        <w:spacing w:line="360" w:lineRule="auto"/>
        <w:ind w:firstLine="640"/>
      </w:pPr>
      <w:bookmarkStart w:id="143" w:name="_Toc10091"/>
      <w:bookmarkStart w:id="144" w:name="_Toc12395"/>
      <w:r>
        <w:rPr>
          <w:rFonts w:hint="eastAsia"/>
        </w:rPr>
        <w:t>六、应届毕业生</w:t>
      </w:r>
      <w:bookmarkEnd w:id="75"/>
      <w:bookmarkEnd w:id="76"/>
      <w:bookmarkEnd w:id="143"/>
      <w:bookmarkEnd w:id="144"/>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bookmarkStart w:id="145" w:name="_Toc1491"/>
      <w:bookmarkStart w:id="146" w:name="_Toc16773"/>
      <w:r>
        <w:rPr>
          <w:rFonts w:hint="eastAsia" w:cs="仿宋_GB2312" w:asciiTheme="minorEastAsia" w:hAnsiTheme="minorEastAsia" w:eastAsiaTheme="minorEastAsia"/>
          <w:sz w:val="28"/>
          <w:szCs w:val="28"/>
        </w:rPr>
        <w:t>俄语专业迎来2020年首届本科生毕业。毕业生的毕业论文选题科学、合理，能较好地将语言学与社会经济、文化紧密结合，符合多元化、复合应用型人才培养目标要求，基本能够达到人才培养方案中的三大毕业要求：知识、能力和素质。本次参加毕业论文撰写的学生共42人，目前正处于毕业论文撰写和修改工作阶段。</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2016级俄语专业学生参加的国家、省市级、校级的各种竞赛活动</w:t>
      </w:r>
      <w:r>
        <w:rPr>
          <w:rFonts w:hint="eastAsia" w:cs="仿宋_GB2312" w:asciiTheme="minorEastAsia" w:hAnsiTheme="minorEastAsia" w:eastAsiaTheme="minorEastAsia"/>
          <w:color w:val="000000" w:themeColor="text1"/>
          <w:sz w:val="28"/>
          <w:szCs w:val="28"/>
          <w14:textFill>
            <w14:solidFill>
              <w14:schemeClr w14:val="tx1"/>
            </w14:solidFill>
          </w14:textFill>
        </w:rPr>
        <w:t>，屡获佳绩，间接地证明了俄语专业在复合应用型人才培养方面成绩显著。2016级学生90%以上都参加了专</w:t>
      </w:r>
      <w:r>
        <w:rPr>
          <w:rFonts w:hint="eastAsia" w:cs="仿宋_GB2312" w:asciiTheme="minorEastAsia" w:hAnsiTheme="minorEastAsia" w:eastAsiaTheme="minorEastAsia"/>
          <w:sz w:val="28"/>
          <w:szCs w:val="28"/>
        </w:rPr>
        <w:t>业社会实践，几乎所有用人单位对16级学生的社会责任感、创新精神、团队意识、品德素养和专业能力都给予了高度的评价。</w:t>
      </w:r>
    </w:p>
    <w:p>
      <w:pPr>
        <w:pStyle w:val="3"/>
        <w:spacing w:line="360" w:lineRule="auto"/>
        <w:ind w:firstLine="560"/>
      </w:pPr>
      <w:bookmarkStart w:id="147" w:name="_Toc15706"/>
      <w:bookmarkStart w:id="148" w:name="_Toc7872"/>
      <w:bookmarkStart w:id="149" w:name="_Toc4468"/>
      <w:bookmarkStart w:id="150" w:name="_Toc19013"/>
      <w:r>
        <w:rPr>
          <w:rFonts w:hint="eastAsia"/>
        </w:rPr>
        <w:t>（一）实习、社会实践和毕业设计</w:t>
      </w:r>
      <w:bookmarkEnd w:id="147"/>
      <w:bookmarkEnd w:id="148"/>
      <w:bookmarkEnd w:id="149"/>
      <w:bookmarkEnd w:id="150"/>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在教学实践技能培养方面，学生在校期间，能够按照国家教育部规定和学院教学计划与教学大纲要求，完成教育实习和社会实践任务。毕业论文命题难度适中，严格按照学校有关规定，指定讲师以上职称或具有一定实践经验及科研能力的教师担任指导工作。目前，本届毕业论文选题和</w:t>
      </w:r>
      <w:r>
        <w:rPr>
          <w:rFonts w:hint="eastAsia" w:cs="仿宋_GB2312" w:asciiTheme="minorEastAsia" w:hAnsiTheme="minorEastAsia" w:eastAsiaTheme="minorEastAsia"/>
          <w:color w:val="000000" w:themeColor="text1"/>
          <w:sz w:val="28"/>
          <w:szCs w:val="28"/>
          <w14:textFill>
            <w14:solidFill>
              <w14:schemeClr w14:val="tx1"/>
            </w14:solidFill>
          </w14:textFill>
        </w:rPr>
        <w:t>确定</w:t>
      </w:r>
      <w:r>
        <w:rPr>
          <w:rFonts w:hint="eastAsia" w:cs="仿宋_GB2312" w:asciiTheme="minorEastAsia" w:hAnsiTheme="minorEastAsia" w:eastAsiaTheme="minorEastAsia"/>
          <w:sz w:val="28"/>
          <w:szCs w:val="28"/>
        </w:rPr>
        <w:t>指导教师工作均已完成。</w:t>
      </w:r>
    </w:p>
    <w:p>
      <w:pPr>
        <w:pStyle w:val="3"/>
        <w:numPr>
          <w:ilvl w:val="0"/>
          <w:numId w:val="12"/>
        </w:numPr>
        <w:spacing w:line="360" w:lineRule="auto"/>
        <w:ind w:firstLine="560"/>
      </w:pPr>
      <w:bookmarkStart w:id="151" w:name="_Toc25964"/>
      <w:bookmarkStart w:id="152" w:name="_Toc11051"/>
      <w:bookmarkStart w:id="153" w:name="_Toc782"/>
      <w:bookmarkStart w:id="154" w:name="_Toc24099"/>
      <w:r>
        <w:rPr>
          <w:rFonts w:hint="eastAsia"/>
        </w:rPr>
        <w:t>学习效果</w:t>
      </w:r>
      <w:bookmarkEnd w:id="151"/>
      <w:bookmarkEnd w:id="152"/>
      <w:bookmarkEnd w:id="153"/>
      <w:bookmarkEnd w:id="154"/>
    </w:p>
    <w:p>
      <w:pPr>
        <w:ind w:firstLine="560" w:firstLineChars="200"/>
        <w:rPr>
          <w:rFonts w:ascii="宋体" w:hAnsi="宋体" w:cs="宋体"/>
          <w:sz w:val="28"/>
          <w:szCs w:val="28"/>
        </w:rPr>
      </w:pPr>
      <w:r>
        <w:rPr>
          <w:rFonts w:hint="eastAsia" w:ascii="宋体" w:hAnsi="宋体" w:cs="宋体"/>
          <w:sz w:val="28"/>
          <w:szCs w:val="28"/>
        </w:rPr>
        <w:t>俄语专业力求学生在掌握基本专业知识的基础上，提高实践应用能力、创新能力，全面推进学生能力、素质、技能的培养。近三年来，学生专业课的平均考核成绩呈正态分布。</w:t>
      </w:r>
    </w:p>
    <w:p>
      <w:pPr>
        <w:pStyle w:val="4"/>
        <w:numPr>
          <w:ilvl w:val="0"/>
          <w:numId w:val="13"/>
        </w:numPr>
        <w:spacing w:line="360" w:lineRule="auto"/>
        <w:ind w:firstLine="562"/>
      </w:pPr>
      <w:bookmarkStart w:id="155" w:name="_Toc1661"/>
      <w:bookmarkStart w:id="156" w:name="_Toc21632"/>
      <w:r>
        <w:rPr>
          <w:rFonts w:hint="eastAsia"/>
        </w:rPr>
        <w:t>具有较高综合素质水平</w:t>
      </w:r>
      <w:bookmarkEnd w:id="155"/>
      <w:bookmarkEnd w:id="156"/>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2016级</w:t>
      </w:r>
      <w:r>
        <w:rPr>
          <w:rFonts w:cs="仿宋_GB2312" w:asciiTheme="minorEastAsia" w:hAnsiTheme="minorEastAsia" w:eastAsiaTheme="minorEastAsia"/>
          <w:sz w:val="28"/>
          <w:szCs w:val="28"/>
        </w:rPr>
        <w:t>俄语专业学生共</w:t>
      </w:r>
      <w:r>
        <w:rPr>
          <w:rFonts w:hint="eastAsia" w:cs="仿宋_GB2312" w:asciiTheme="minorEastAsia" w:hAnsiTheme="minorEastAsia" w:eastAsiaTheme="minorEastAsia"/>
          <w:sz w:val="28"/>
          <w:szCs w:val="28"/>
        </w:rPr>
        <w:t>42人，其中有3人获得黑龙江省高校三好学生</w:t>
      </w:r>
      <w:r>
        <w:rPr>
          <w:rFonts w:hint="eastAsia" w:cs="仿宋_GB2312" w:asciiTheme="minorEastAsia" w:hAnsiTheme="minorEastAsia" w:eastAsiaTheme="minorEastAsia"/>
          <w:color w:val="000000" w:themeColor="text1"/>
          <w:sz w:val="28"/>
          <w:szCs w:val="28"/>
          <w14:textFill>
            <w14:solidFill>
              <w14:schemeClr w14:val="tx1"/>
            </w14:solidFill>
          </w14:textFill>
        </w:rPr>
        <w:t>称号，2人被评为黑工院优秀团干部，2人被评为优秀团员，1人被评为鸡西市优秀共青团员，2人获得国家奖学金、6人获得国家励志奖学金，32人取得普通话二级乙等以上成绩，7人获得全国商</w:t>
      </w:r>
      <w:r>
        <w:rPr>
          <w:rFonts w:hint="eastAsia" w:cs="仿宋_GB2312" w:asciiTheme="minorEastAsia" w:hAnsiTheme="minorEastAsia" w:eastAsiaTheme="minorEastAsia"/>
          <w:sz w:val="28"/>
          <w:szCs w:val="28"/>
        </w:rPr>
        <w:t>务英语二级证书，4人获得计算机NIT证书，4人获得国家计算机二级证书，4人获得办公自动化岗位任职合格证书，14人通过全国大学生英语四级水平测试、4人通过全国大学生英语六级水平测试，1人曾获得黑工院英语朗读大赛一等奖，2人获得黑工院大学生职业生涯规划大赛二等奖，1人获得外研社黑龙江赛区写作大赛二等奖，1人荣获《梦想在路上-2017黑龙江省国家奖学金学生风采录》文章三等奖，2人获得黑工院成功素质训练营优秀营员，4人获得军训优秀学员称号，1人获得“曹灿杯”黑工院赛区优</w:t>
      </w:r>
      <w:r>
        <w:rPr>
          <w:rFonts w:hint="eastAsia" w:cs="仿宋_GB2312" w:asciiTheme="minorEastAsia" w:hAnsiTheme="minorEastAsia" w:eastAsiaTheme="minorEastAsia"/>
          <w:color w:val="000000" w:themeColor="text1"/>
          <w:sz w:val="28"/>
          <w:szCs w:val="28"/>
          <w14:textFill>
            <w14:solidFill>
              <w14:schemeClr w14:val="tx1"/>
            </w14:solidFill>
          </w14:textFill>
        </w:rPr>
        <w:t>秀奖。上述学生取得的成绩足以说明俄语专业培养的毕业生不仅具有专业知识，同时具有过硬的综</w:t>
      </w:r>
      <w:r>
        <w:rPr>
          <w:rFonts w:hint="eastAsia" w:cs="仿宋_GB2312" w:asciiTheme="minorEastAsia" w:hAnsiTheme="minorEastAsia" w:eastAsiaTheme="minorEastAsia"/>
          <w:sz w:val="28"/>
          <w:szCs w:val="28"/>
        </w:rPr>
        <w:t>合素质。</w:t>
      </w:r>
    </w:p>
    <w:p>
      <w:pPr>
        <w:pStyle w:val="4"/>
        <w:numPr>
          <w:ilvl w:val="0"/>
          <w:numId w:val="14"/>
        </w:numPr>
        <w:spacing w:line="360" w:lineRule="auto"/>
        <w:ind w:firstLine="562"/>
      </w:pPr>
      <w:bookmarkStart w:id="157" w:name="_Toc10455"/>
      <w:bookmarkStart w:id="158" w:name="_Toc18731"/>
      <w:r>
        <w:rPr>
          <w:rFonts w:hint="eastAsia"/>
        </w:rPr>
        <w:t>具有较扎实的专业知识和较强的专业技能</w:t>
      </w:r>
      <w:bookmarkEnd w:id="157"/>
      <w:bookmarkEnd w:id="158"/>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2016级</w:t>
      </w:r>
      <w:r>
        <w:rPr>
          <w:rFonts w:cs="仿宋_GB2312" w:asciiTheme="minorEastAsia" w:hAnsiTheme="minorEastAsia" w:eastAsiaTheme="minorEastAsia"/>
          <w:sz w:val="28"/>
          <w:szCs w:val="28"/>
        </w:rPr>
        <w:t>俄语专业学生</w:t>
      </w:r>
      <w:r>
        <w:rPr>
          <w:rFonts w:hint="eastAsia" w:cs="仿宋_GB2312" w:asciiTheme="minorEastAsia" w:hAnsiTheme="minorEastAsia" w:eastAsiaTheme="minorEastAsia"/>
          <w:sz w:val="28"/>
          <w:szCs w:val="28"/>
        </w:rPr>
        <w:t>具备扎实的俄语专业知识和较强的听、说、读、写、译等专业技能。全国大学生俄语专业四级水平测试通过率达70%以上，目前有1人已通过全国大学生俄语专业八级水平测试，5人获得商务俄语中级证书，多人在黑工院举办的俄语朗读大赛、演讲大赛、书法大赛中分获二、三等奖，4人荣获中俄大学生国际俄语大赛优秀奖，1人获得2018哈科会黑龙江外国语大学俄语比赛优秀奖，24人获得俄罗斯远东联邦大学乌苏里分校修读证书，22人获得俄罗斯布拉格维申斯克市国立师范大学修读证书。</w:t>
      </w:r>
    </w:p>
    <w:p>
      <w:pPr>
        <w:pStyle w:val="3"/>
        <w:spacing w:line="360" w:lineRule="auto"/>
        <w:ind w:firstLine="560"/>
      </w:pPr>
      <w:bookmarkStart w:id="159" w:name="_Toc13510"/>
      <w:bookmarkStart w:id="160" w:name="_Toc22308"/>
      <w:bookmarkStart w:id="161" w:name="_Toc12113"/>
      <w:bookmarkStart w:id="162" w:name="_Toc24443"/>
      <w:r>
        <w:rPr>
          <w:rFonts w:hint="eastAsia"/>
        </w:rPr>
        <w:t>（三）第二课堂丰富多彩</w:t>
      </w:r>
      <w:bookmarkEnd w:id="159"/>
      <w:bookmarkEnd w:id="160"/>
      <w:bookmarkEnd w:id="161"/>
      <w:bookmarkEnd w:id="162"/>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为丰富学生的第二课堂，充实学生的课余生活，俄语专业每学期都组织两种以上的课外活动。</w:t>
      </w:r>
    </w:p>
    <w:p>
      <w:pPr>
        <w:pStyle w:val="4"/>
        <w:numPr>
          <w:ilvl w:val="0"/>
          <w:numId w:val="15"/>
        </w:numPr>
        <w:spacing w:line="360" w:lineRule="auto"/>
        <w:ind w:firstLine="562"/>
      </w:pPr>
      <w:bookmarkStart w:id="163" w:name="_Toc28512"/>
      <w:bookmarkStart w:id="164" w:name="_Toc21194"/>
      <w:r>
        <w:rPr>
          <w:rFonts w:hint="eastAsia"/>
        </w:rPr>
        <w:t>竞赛类</w:t>
      </w:r>
      <w:bookmarkEnd w:id="163"/>
      <w:bookmarkEnd w:id="164"/>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根据不同阶段的学生水平，相继开展俄语书法大赛、百词大赛、俄罗斯国情知识竞赛、俄语演讲比赛、俄语配音比赛、俄语情景剧汇演、俄语辩论大赛等。</w:t>
      </w:r>
    </w:p>
    <w:p>
      <w:pPr>
        <w:pStyle w:val="4"/>
        <w:numPr>
          <w:ilvl w:val="0"/>
          <w:numId w:val="16"/>
        </w:numPr>
        <w:spacing w:line="360" w:lineRule="auto"/>
        <w:ind w:firstLine="562"/>
      </w:pPr>
      <w:bookmarkStart w:id="165" w:name="_Toc21417"/>
      <w:bookmarkStart w:id="166" w:name="_Toc23705"/>
      <w:r>
        <w:rPr>
          <w:rFonts w:hint="eastAsia"/>
        </w:rPr>
        <w:t>社团类</w:t>
      </w:r>
      <w:bookmarkEnd w:id="165"/>
      <w:bookmarkEnd w:id="166"/>
    </w:p>
    <w:p>
      <w:pPr>
        <w:adjustRightInd w:val="0"/>
        <w:snapToGrid w:val="0"/>
        <w:spacing w:beforeAutospacing="0" w:afterAutospacing="0" w:line="360" w:lineRule="auto"/>
        <w:ind w:firstLine="560"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sz w:val="28"/>
          <w:szCs w:val="28"/>
        </w:rPr>
        <w:t>开展丰富的学生社团活动，依托“大学生外语协会”社团、“青年之声”外语电台，开展俄语专业活</w:t>
      </w:r>
      <w:r>
        <w:rPr>
          <w:rFonts w:hint="eastAsia" w:cs="仿宋_GB2312" w:asciiTheme="minorEastAsia" w:hAnsiTheme="minorEastAsia" w:eastAsiaTheme="minorEastAsia"/>
          <w:color w:val="000000" w:themeColor="text1"/>
          <w:sz w:val="28"/>
          <w:szCs w:val="28"/>
          <w14:textFill>
            <w14:solidFill>
              <w14:schemeClr w14:val="tx1"/>
            </w14:solidFill>
          </w14:textFill>
        </w:rPr>
        <w:t>动，扩大学生的参与面，对提高学生综合素质起到了积极作用，得到了学生的较好评价。</w:t>
      </w:r>
    </w:p>
    <w:p>
      <w:pPr>
        <w:pStyle w:val="4"/>
        <w:numPr>
          <w:ilvl w:val="0"/>
          <w:numId w:val="17"/>
        </w:numPr>
        <w:spacing w:line="360" w:lineRule="auto"/>
        <w:ind w:firstLine="562"/>
      </w:pPr>
      <w:bookmarkStart w:id="167" w:name="_Toc22438"/>
      <w:bookmarkStart w:id="168" w:name="_Toc1411"/>
      <w:r>
        <w:rPr>
          <w:rFonts w:hint="eastAsia"/>
        </w:rPr>
        <w:t>社会实践类</w:t>
      </w:r>
      <w:bookmarkEnd w:id="167"/>
      <w:bookmarkEnd w:id="168"/>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每个学期，都要组织学生进行专业调研、社会</w:t>
      </w:r>
      <w:r>
        <w:rPr>
          <w:rFonts w:hint="eastAsia" w:cs="仿宋_GB2312" w:asciiTheme="minorEastAsia" w:hAnsiTheme="minorEastAsia" w:eastAsiaTheme="minorEastAsia"/>
          <w:color w:val="000000" w:themeColor="text1"/>
          <w:sz w:val="28"/>
          <w:szCs w:val="28"/>
          <w14:textFill>
            <w14:solidFill>
              <w14:schemeClr w14:val="tx1"/>
            </w14:solidFill>
          </w14:textFill>
        </w:rPr>
        <w:t>调研以及参加公益</w:t>
      </w:r>
      <w:r>
        <w:rPr>
          <w:rFonts w:hint="eastAsia" w:cs="仿宋_GB2312" w:asciiTheme="minorEastAsia" w:hAnsiTheme="minorEastAsia" w:eastAsiaTheme="minorEastAsia"/>
          <w:sz w:val="28"/>
          <w:szCs w:val="28"/>
        </w:rPr>
        <w:t>等活动，让学生认识社会、接触社会，为将来能够更快地适应社会打下坚实的基础。</w:t>
      </w:r>
    </w:p>
    <w:p>
      <w:pPr>
        <w:pStyle w:val="4"/>
        <w:numPr>
          <w:ilvl w:val="0"/>
          <w:numId w:val="18"/>
        </w:numPr>
        <w:spacing w:line="360" w:lineRule="auto"/>
        <w:ind w:firstLine="562"/>
      </w:pPr>
      <w:bookmarkStart w:id="169" w:name="_Toc25282"/>
      <w:bookmarkStart w:id="170" w:name="_Toc4613"/>
      <w:r>
        <w:rPr>
          <w:rFonts w:hint="eastAsia"/>
        </w:rPr>
        <w:t>其他</w:t>
      </w:r>
      <w:bookmarkEnd w:id="169"/>
      <w:bookmarkEnd w:id="170"/>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每个星期组织1-2次社会劳动，让学生服务学校，服务社会，</w:t>
      </w:r>
      <w:r>
        <w:rPr>
          <w:rFonts w:cs="仿宋_GB2312" w:asciiTheme="minorEastAsia" w:hAnsiTheme="minorEastAsia" w:eastAsiaTheme="minorEastAsia"/>
          <w:sz w:val="28"/>
          <w:szCs w:val="28"/>
        </w:rPr>
        <w:t>培养</w:t>
      </w:r>
      <w:r>
        <w:rPr>
          <w:rFonts w:hint="eastAsia" w:cs="仿宋_GB2312" w:asciiTheme="minorEastAsia" w:hAnsiTheme="minorEastAsia" w:eastAsiaTheme="minorEastAsia"/>
          <w:sz w:val="28"/>
          <w:szCs w:val="28"/>
        </w:rPr>
        <w:t>他们</w:t>
      </w:r>
      <w:r>
        <w:rPr>
          <w:rFonts w:cs="仿宋_GB2312" w:asciiTheme="minorEastAsia" w:hAnsiTheme="minorEastAsia" w:eastAsiaTheme="minorEastAsia"/>
          <w:sz w:val="28"/>
          <w:szCs w:val="28"/>
        </w:rPr>
        <w:t>的社会责任感</w:t>
      </w:r>
      <w:r>
        <w:rPr>
          <w:rFonts w:hint="eastAsia" w:cs="仿宋_GB2312" w:asciiTheme="minorEastAsia" w:hAnsiTheme="minorEastAsia" w:eastAsiaTheme="minorEastAsia"/>
          <w:sz w:val="28"/>
          <w:szCs w:val="28"/>
        </w:rPr>
        <w:t>和</w:t>
      </w:r>
      <w:r>
        <w:rPr>
          <w:rFonts w:cs="仿宋_GB2312" w:asciiTheme="minorEastAsia" w:hAnsiTheme="minorEastAsia" w:eastAsiaTheme="minorEastAsia"/>
          <w:sz w:val="28"/>
          <w:szCs w:val="28"/>
        </w:rPr>
        <w:t>实践能力,帮助学生树立正确的世界观、人生观、价值观。</w:t>
      </w:r>
      <w:r>
        <w:rPr>
          <w:rFonts w:hint="eastAsia" w:cs="仿宋_GB2312" w:asciiTheme="minorEastAsia" w:hAnsiTheme="minorEastAsia" w:eastAsiaTheme="minorEastAsia"/>
          <w:sz w:val="28"/>
          <w:szCs w:val="28"/>
        </w:rPr>
        <w:t>组织学生参加各种学术讲座、科技讲座等活动。</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一切活动坚持“以学生为中心”的原则，想学生所想，急学生所</w:t>
      </w:r>
      <w:r>
        <w:rPr>
          <w:rFonts w:hint="eastAsia" w:cs="仿宋_GB2312" w:asciiTheme="minorEastAsia" w:hAnsiTheme="minorEastAsia" w:eastAsiaTheme="minorEastAsia"/>
          <w:color w:val="000000" w:themeColor="text1"/>
          <w:sz w:val="28"/>
          <w:szCs w:val="28"/>
          <w14:textFill>
            <w14:solidFill>
              <w14:schemeClr w14:val="tx1"/>
            </w14:solidFill>
          </w14:textFill>
        </w:rPr>
        <w:t>急，全心全意为学生做好各项服务工作</w:t>
      </w:r>
      <w:r>
        <w:rPr>
          <w:rFonts w:hint="eastAsia" w:cs="仿宋_GB2312" w:asciiTheme="minorEastAsia" w:hAnsiTheme="minorEastAsia" w:eastAsiaTheme="minorEastAsia"/>
          <w:sz w:val="28"/>
          <w:szCs w:val="28"/>
        </w:rPr>
        <w:t>，拓展学生的视野，提高其综合素质。</w:t>
      </w:r>
    </w:p>
    <w:p>
      <w:pPr>
        <w:pStyle w:val="3"/>
        <w:spacing w:line="360" w:lineRule="auto"/>
        <w:ind w:firstLine="560"/>
      </w:pPr>
      <w:bookmarkStart w:id="171" w:name="_Toc8309"/>
      <w:bookmarkStart w:id="172" w:name="_Toc19637"/>
      <w:r>
        <w:rPr>
          <w:rFonts w:hint="eastAsia"/>
        </w:rPr>
        <w:t>（四）创新创业教育</w:t>
      </w:r>
      <w:bookmarkEnd w:id="145"/>
      <w:bookmarkEnd w:id="146"/>
      <w:bookmarkEnd w:id="171"/>
      <w:bookmarkEnd w:id="172"/>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我校把高校创新创业教育和大学生自主创业工作摆在突出重要位置。积极宣传国家和地方促进创业的政策、措施，宣传毕业生自主创业的先进</w:t>
      </w:r>
      <w:r>
        <w:rPr>
          <w:rFonts w:hint="eastAsia" w:cs="仿宋_GB2312" w:asciiTheme="minorEastAsia" w:hAnsiTheme="minorEastAsia" w:eastAsiaTheme="minorEastAsia"/>
          <w:color w:val="000000" w:themeColor="text1"/>
          <w:sz w:val="28"/>
          <w:szCs w:val="28"/>
          <w14:textFill>
            <w14:solidFill>
              <w14:schemeClr w14:val="tx1"/>
            </w14:solidFill>
          </w14:textFill>
        </w:rPr>
        <w:t>典型，激发学生的创业热情，加强对在校生的创业风险意识教育，支持、鼓励大学生进行自主创业，引导学生树立科学的创业观、就业观、成才观。把创新创业教育有效纳入专业教育、文化素质教育教学计划和学分体系中，建立多层次、立体化</w:t>
      </w:r>
      <w:r>
        <w:rPr>
          <w:rFonts w:hint="eastAsia" w:cs="仿宋_GB2312" w:asciiTheme="minorEastAsia" w:hAnsiTheme="minorEastAsia" w:eastAsiaTheme="minorEastAsia"/>
          <w:sz w:val="28"/>
          <w:szCs w:val="28"/>
        </w:rPr>
        <w:t>的创新创业教育课程体系，积极推进人才培养模式、教学内容和课程体系改革。</w:t>
      </w:r>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鼓励学生利用假期时间，开展社会实践活动，提高学生综合素质和工作能力，</w:t>
      </w:r>
      <w:r>
        <w:rPr>
          <w:rFonts w:hint="eastAsia" w:cs="仿宋_GB2312" w:asciiTheme="minorEastAsia" w:hAnsiTheme="minorEastAsia" w:eastAsiaTheme="minorEastAsia"/>
          <w:color w:val="000000" w:themeColor="text1"/>
          <w:sz w:val="28"/>
          <w:szCs w:val="28"/>
          <w14:textFill>
            <w14:solidFill>
              <w14:schemeClr w14:val="tx1"/>
            </w14:solidFill>
          </w14:textFill>
        </w:rPr>
        <w:t>增强学生自主意识和团队协作意识，培养他们的社会</w:t>
      </w:r>
      <w:r>
        <w:rPr>
          <w:rFonts w:hint="eastAsia" w:cs="仿宋_GB2312" w:asciiTheme="minorEastAsia" w:hAnsiTheme="minorEastAsia" w:eastAsiaTheme="minorEastAsia"/>
          <w:sz w:val="28"/>
          <w:szCs w:val="28"/>
        </w:rPr>
        <w:t>责任感和创新精神。鼓励教师引导学生参与科研项目，培养学生的逻辑思维能力和创新能力。本专业毕业生有较强的综合实践能力、创新精神和社会适应能力，能够从事与俄语有关的教育、科研、翻译、管理等方面的工作。本届42名毕业生全部达到俄语专业人才培养目标。</w:t>
      </w:r>
    </w:p>
    <w:p>
      <w:pPr>
        <w:pStyle w:val="2"/>
        <w:adjustRightInd w:val="0"/>
        <w:snapToGrid w:val="0"/>
        <w:spacing w:line="360" w:lineRule="auto"/>
        <w:ind w:firstLine="640"/>
      </w:pPr>
      <w:bookmarkStart w:id="173" w:name="_Toc9202"/>
      <w:bookmarkStart w:id="174" w:name="_Toc32483"/>
      <w:r>
        <w:t>七</w:t>
      </w:r>
      <w:r>
        <w:rPr>
          <w:rFonts w:hint="eastAsia"/>
        </w:rPr>
        <w:t>、专业特色与优势</w:t>
      </w:r>
      <w:bookmarkEnd w:id="77"/>
      <w:bookmarkEnd w:id="78"/>
      <w:bookmarkEnd w:id="173"/>
      <w:bookmarkEnd w:id="174"/>
    </w:p>
    <w:p>
      <w:pPr>
        <w:pStyle w:val="3"/>
        <w:spacing w:line="360" w:lineRule="auto"/>
        <w:ind w:firstLine="560"/>
      </w:pPr>
      <w:bookmarkStart w:id="175" w:name="_Toc17964"/>
      <w:bookmarkStart w:id="176" w:name="_Toc3630"/>
      <w:bookmarkStart w:id="177" w:name="_Toc22232"/>
      <w:bookmarkStart w:id="178" w:name="_Toc13076"/>
      <w:r>
        <w:rPr>
          <w:rFonts w:hint="eastAsia"/>
        </w:rPr>
        <w:t>（一）专业设置适应社会需求</w:t>
      </w:r>
      <w:bookmarkEnd w:id="175"/>
      <w:bookmarkEnd w:id="176"/>
      <w:bookmarkEnd w:id="177"/>
      <w:bookmarkEnd w:id="178"/>
    </w:p>
    <w:p>
      <w:pPr>
        <w:adjustRightInd w:val="0"/>
        <w:snapToGrid w:val="0"/>
        <w:spacing w:beforeAutospacing="0" w:afterAutospacing="0" w:line="360" w:lineRule="auto"/>
        <w:ind w:firstLine="560"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sz w:val="28"/>
          <w:szCs w:val="28"/>
        </w:rPr>
        <w:t>随着“丝路带”</w:t>
      </w:r>
      <w:r>
        <w:rPr>
          <w:rFonts w:hint="eastAsia" w:cs="仿宋_GB2312" w:asciiTheme="minorEastAsia" w:hAnsiTheme="minorEastAsia" w:eastAsiaTheme="minorEastAsia"/>
          <w:color w:val="000000" w:themeColor="text1"/>
          <w:sz w:val="28"/>
          <w:szCs w:val="28"/>
          <w14:textFill>
            <w14:solidFill>
              <w14:schemeClr w14:val="tx1"/>
            </w14:solidFill>
          </w14:textFill>
        </w:rPr>
        <w:t>（</w:t>
      </w:r>
      <w:r>
        <w:rPr>
          <w:rFonts w:hint="eastAsia" w:cs="仿宋_GB2312" w:asciiTheme="minorEastAsia" w:hAnsiTheme="minorEastAsia" w:eastAsiaTheme="minorEastAsia"/>
          <w:sz w:val="28"/>
          <w:szCs w:val="28"/>
        </w:rPr>
        <w:t>即2013年提出的“新丝绸之路经济带”和“21世纪海上丝绸之路</w:t>
      </w:r>
      <w:r>
        <w:rPr>
          <w:rFonts w:hint="eastAsia" w:cs="仿宋_GB2312" w:asciiTheme="minorEastAsia" w:hAnsiTheme="minorEastAsia" w:eastAsiaTheme="minorEastAsia"/>
          <w:color w:val="000000" w:themeColor="text1"/>
          <w:sz w:val="28"/>
          <w:szCs w:val="28"/>
          <w14:textFill>
            <w14:solidFill>
              <w14:schemeClr w14:val="tx1"/>
            </w14:solidFill>
          </w14:textFill>
        </w:rPr>
        <w:t>”）战略</w:t>
      </w:r>
      <w:r>
        <w:rPr>
          <w:rFonts w:hint="eastAsia" w:cs="仿宋_GB2312" w:asciiTheme="minorEastAsia" w:hAnsiTheme="minorEastAsia" w:eastAsiaTheme="minorEastAsia"/>
          <w:sz w:val="28"/>
          <w:szCs w:val="28"/>
        </w:rPr>
        <w:t>构想的提出，黑龙江省政府为践行“一带一路”战略思想，提出《“中蒙俄经济走廊”黑龙江陆海丝绸之路经济带建设规划》，积极融入国家“一带一路”战略。而《推动共建丝绸之路经济带和21世纪海上丝绸之路的愿景与行动》的发布，对我省做</w:t>
      </w:r>
      <w:r>
        <w:rPr>
          <w:rFonts w:hint="eastAsia" w:cs="仿宋_GB2312" w:asciiTheme="minorEastAsia" w:hAnsiTheme="minorEastAsia" w:eastAsiaTheme="minorEastAsia"/>
          <w:color w:val="000000" w:themeColor="text1"/>
          <w:sz w:val="28"/>
          <w:szCs w:val="28"/>
          <w14:textFill>
            <w14:solidFill>
              <w14:schemeClr w14:val="tx1"/>
            </w14:solidFill>
          </w14:textFill>
        </w:rPr>
        <w:t>了重要定位，即完善黑龙江对俄铁路通道和区域铁路网；黑龙江与俄远东地区进行陆海联运合作；推进构建北京——莫斯科欧亚高速运输走廊，建设向北开放的重要窗口。丝路带共有三条路线，其中有两条与俄语密切相关，一条是，中国北部经蒙古国、俄罗斯通向欧洲；另一条是，中国西部经中亚通向欧洲，这两条路线上有十多个可以使用俄语的国家，俄语在丝路带发展中的作用是不可替代</w:t>
      </w:r>
      <w:r>
        <w:rPr>
          <w:rFonts w:hint="eastAsia" w:cs="仿宋_GB2312" w:asciiTheme="minorEastAsia" w:hAnsiTheme="minorEastAsia" w:eastAsiaTheme="minorEastAsia"/>
          <w:sz w:val="28"/>
          <w:szCs w:val="28"/>
        </w:rPr>
        <w:t>的。</w:t>
      </w:r>
    </w:p>
    <w:p>
      <w:pPr>
        <w:pStyle w:val="4"/>
        <w:numPr>
          <w:ilvl w:val="0"/>
          <w:numId w:val="19"/>
        </w:numPr>
        <w:spacing w:line="360" w:lineRule="auto"/>
        <w:ind w:firstLine="562"/>
      </w:pPr>
      <w:bookmarkStart w:id="179" w:name="_Toc21467"/>
      <w:bookmarkStart w:id="180" w:name="_Toc25658"/>
      <w:r>
        <w:rPr>
          <w:rFonts w:hint="eastAsia"/>
        </w:rPr>
        <w:t>俄语学科地位日益重要</w:t>
      </w:r>
      <w:bookmarkEnd w:id="179"/>
      <w:bookmarkEnd w:id="180"/>
    </w:p>
    <w:p>
      <w:pPr>
        <w:adjustRightInd w:val="0"/>
        <w:snapToGrid w:val="0"/>
        <w:spacing w:beforeAutospacing="0" w:afterAutospacing="0" w:line="360" w:lineRule="auto"/>
        <w:ind w:firstLine="560"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推动共建丝绸之路经济带和21世纪海上丝绸之路的愿景与行动》的发布，为俄语学生带来了新契机。可见，大学俄语专业应用技术型人才培养对于满足我国经济社会发展，满足丝路带对高层次俄语应用型人才需求以及推进新时代龙江的全方位、全方面振兴起到积极的促进作用。大学俄语应用型人才培养专业未来发展前景广阔，尤其高层次、高水平应用型俄语人才将炙手可热。</w:t>
      </w:r>
    </w:p>
    <w:p>
      <w:pPr>
        <w:pStyle w:val="4"/>
        <w:numPr>
          <w:ilvl w:val="0"/>
          <w:numId w:val="20"/>
        </w:numPr>
        <w:spacing w:line="360" w:lineRule="auto"/>
        <w:ind w:firstLine="562"/>
      </w:pPr>
      <w:bookmarkStart w:id="181" w:name="_Toc6919"/>
      <w:bookmarkStart w:id="182" w:name="_Toc8261"/>
      <w:r>
        <w:rPr>
          <w:rFonts w:hint="eastAsia"/>
        </w:rPr>
        <w:t>国家发展战略迫切需要俄语学科</w:t>
      </w:r>
      <w:bookmarkEnd w:id="181"/>
      <w:bookmarkEnd w:id="182"/>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随着“一带一路”战略和我省“龙江丝路带”、“振兴东北老工业基地”建设的推进，亟需既懂俄语又有专业知识的复合应用型俄语人才（即俄语+应用）作为智力支撑和人才支持。</w:t>
      </w:r>
    </w:p>
    <w:p>
      <w:pPr>
        <w:pStyle w:val="4"/>
        <w:numPr>
          <w:ilvl w:val="0"/>
          <w:numId w:val="21"/>
        </w:numPr>
        <w:spacing w:line="360" w:lineRule="auto"/>
        <w:ind w:firstLine="562"/>
      </w:pPr>
      <w:bookmarkStart w:id="183" w:name="_Toc29769"/>
      <w:bookmarkStart w:id="184" w:name="_Toc18682"/>
      <w:r>
        <w:rPr>
          <w:rFonts w:hint="eastAsia"/>
        </w:rPr>
        <w:t>俄语人才培养多元化的需求</w:t>
      </w:r>
      <w:bookmarkEnd w:id="183"/>
      <w:bookmarkEnd w:id="184"/>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随着“一带一路”战略的不断推进和发展，相关配套建设会带动俄语人才向这一区域和领域流动。随着中俄合</w:t>
      </w:r>
      <w:r>
        <w:rPr>
          <w:rFonts w:hint="eastAsia" w:cs="仿宋_GB2312" w:asciiTheme="minorEastAsia" w:hAnsiTheme="minorEastAsia" w:eastAsiaTheme="minorEastAsia"/>
          <w:color w:val="000000" w:themeColor="text1"/>
          <w:sz w:val="28"/>
          <w:szCs w:val="28"/>
          <w14:textFill>
            <w14:solidFill>
              <w14:schemeClr w14:val="tx1"/>
            </w14:solidFill>
          </w14:textFill>
        </w:rPr>
        <w:t>作领域和范围的扩大，</w:t>
      </w:r>
      <w:r>
        <w:rPr>
          <w:rFonts w:hint="eastAsia" w:cs="仿宋_GB2312" w:asciiTheme="minorEastAsia" w:hAnsiTheme="minorEastAsia" w:eastAsiaTheme="minorEastAsia"/>
          <w:sz w:val="28"/>
          <w:szCs w:val="28"/>
        </w:rPr>
        <w:t>只学习俄语语言已不能满足两国战略合作需要。目前，国内的各类高科技企业、创新企业和投资企业都需要以俄语为平台，用专业做支撑的复合型人才，多元化的应用型俄语人才将供不应求。</w:t>
      </w:r>
    </w:p>
    <w:p>
      <w:pPr>
        <w:pStyle w:val="4"/>
        <w:numPr>
          <w:ilvl w:val="0"/>
          <w:numId w:val="22"/>
        </w:numPr>
        <w:spacing w:line="360" w:lineRule="auto"/>
        <w:ind w:firstLine="562"/>
      </w:pPr>
      <w:bookmarkStart w:id="185" w:name="_Toc23565"/>
      <w:bookmarkStart w:id="186" w:name="_Toc7654"/>
      <w:r>
        <w:rPr>
          <w:rFonts w:hint="eastAsia"/>
        </w:rPr>
        <w:t>区位办学优势较为明显</w:t>
      </w:r>
      <w:bookmarkEnd w:id="185"/>
      <w:bookmarkEnd w:id="186"/>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黑龙江省是中国对俄开放最大省，对俄贸易量占全国的四分之一，对俄投资量占全国的三分之一，无论是经济发展还是政治、文化交流，都需要俄语学科作为支撑，发挥桥梁作用。此外，由于</w:t>
      </w:r>
      <w:r>
        <w:rPr>
          <w:rFonts w:cs="仿宋_GB2312" w:asciiTheme="minorEastAsia" w:hAnsiTheme="minorEastAsia" w:eastAsiaTheme="minorEastAsia"/>
          <w:sz w:val="28"/>
          <w:szCs w:val="28"/>
        </w:rPr>
        <w:t>我</w:t>
      </w:r>
      <w:r>
        <w:rPr>
          <w:rFonts w:hint="eastAsia" w:cs="仿宋_GB2312" w:asciiTheme="minorEastAsia" w:hAnsiTheme="minorEastAsia" w:eastAsiaTheme="minorEastAsia"/>
          <w:sz w:val="28"/>
          <w:szCs w:val="28"/>
        </w:rPr>
        <w:t>校地处中俄边境城市，处于东北亚经济圈的核心地带，是国家“一带一路”战略向北开放的窗口和前沿，我校俄语专业立足煤城，有着得天独厚的地缘优势，有望在龙江东部煤城转型发展中成为高水平复合应用型俄语人才的输出地。</w:t>
      </w:r>
      <w:bookmarkStart w:id="187" w:name="_Toc20529"/>
      <w:bookmarkStart w:id="188" w:name="_Toc31704"/>
    </w:p>
    <w:p>
      <w:pPr>
        <w:adjustRightInd w:val="0"/>
        <w:snapToGrid w:val="0"/>
        <w:spacing w:beforeAutospacing="0" w:afterAutospacing="0" w:line="360" w:lineRule="auto"/>
        <w:ind w:firstLine="560" w:firstLineChars="200"/>
        <w:rPr>
          <w:rStyle w:val="22"/>
        </w:rPr>
      </w:pPr>
      <w:bookmarkStart w:id="189" w:name="_Toc19520"/>
      <w:bookmarkStart w:id="190" w:name="_Toc17681"/>
      <w:r>
        <w:rPr>
          <w:rStyle w:val="22"/>
          <w:rFonts w:hint="eastAsia"/>
        </w:rPr>
        <w:t>（二）人才培养模式符合社会需求，专业建设有特色</w:t>
      </w:r>
      <w:bookmarkEnd w:id="187"/>
      <w:bookmarkEnd w:id="188"/>
    </w:p>
    <w:bookmarkEnd w:id="189"/>
    <w:bookmarkEnd w:id="190"/>
    <w:p>
      <w:pPr>
        <w:pStyle w:val="4"/>
        <w:spacing w:line="360" w:lineRule="auto"/>
        <w:ind w:firstLine="562"/>
      </w:pPr>
      <w:bookmarkStart w:id="191" w:name="_Toc8403"/>
      <w:bookmarkStart w:id="192" w:name="_Toc11483"/>
      <w:r>
        <w:rPr>
          <w:rFonts w:hint="eastAsia"/>
        </w:rPr>
        <w:t>1. 契合需求的人才培养模式</w:t>
      </w:r>
      <w:bookmarkEnd w:id="191"/>
      <w:bookmarkEnd w:id="192"/>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color w:val="000000" w:themeColor="text1"/>
          <w:sz w:val="28"/>
          <w:szCs w:val="28"/>
          <w14:textFill>
            <w14:solidFill>
              <w14:schemeClr w14:val="tx1"/>
            </w14:solidFill>
          </w14:textFill>
        </w:rPr>
        <w:t>俄语专业的定位是“</w:t>
      </w:r>
      <w:r>
        <w:rPr>
          <w:rFonts w:hint="eastAsia" w:cs="仿宋_GB2312" w:asciiTheme="minorEastAsia" w:hAnsiTheme="minorEastAsia" w:eastAsiaTheme="minorEastAsia"/>
          <w:sz w:val="28"/>
          <w:szCs w:val="28"/>
        </w:rPr>
        <w:t>俄语+应用”,使学生既掌握俄语语言基础知识与基本技能，又能把俄语作为工具，实现与贸易、电子商务、旅游、教科研、人工智能、石墨产业等领域的融合，符合我国战略和经济发展需要；符合我省全面振兴的需要；符合我校现阶段发展特点和目标定位；符合目前俄语专业内涵建设的需要。</w:t>
      </w:r>
    </w:p>
    <w:p>
      <w:pPr>
        <w:pStyle w:val="4"/>
        <w:numPr>
          <w:ilvl w:val="0"/>
          <w:numId w:val="23"/>
        </w:numPr>
        <w:spacing w:line="360" w:lineRule="auto"/>
        <w:ind w:firstLine="562"/>
      </w:pPr>
      <w:bookmarkStart w:id="193" w:name="_Toc26638"/>
      <w:bookmarkStart w:id="194" w:name="_Toc18398"/>
      <w:r>
        <w:rPr>
          <w:rFonts w:hint="eastAsia"/>
        </w:rPr>
        <w:t>契合需求，学科优势凸显</w:t>
      </w:r>
      <w:bookmarkEnd w:id="193"/>
      <w:bookmarkEnd w:id="194"/>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color w:val="000000" w:themeColor="text1"/>
          <w:sz w:val="28"/>
          <w:szCs w:val="28"/>
          <w14:textFill>
            <w14:solidFill>
              <w14:schemeClr w14:val="tx1"/>
            </w14:solidFill>
          </w14:textFill>
        </w:rPr>
        <w:t>随着中俄合作领域的不断扩大和加深以及社会经济的发展，对俄语人才的需求也随之变得更加多样性，我校俄语专业人才培养定位于立足煤城、服务龙江，主动对接地方优势产业和重点发展产业，如煤炭、石墨、绿色食品、现代服务业和现代制造业等，实现俄语专业与这些产业的融合交叉，更加适应经济发展需求。俄语作为我省最常用</w:t>
      </w:r>
      <w:r>
        <w:rPr>
          <w:rFonts w:hint="eastAsia" w:cs="仿宋_GB2312" w:asciiTheme="minorEastAsia" w:hAnsiTheme="minorEastAsia" w:eastAsiaTheme="minorEastAsia"/>
          <w:sz w:val="28"/>
          <w:szCs w:val="28"/>
        </w:rPr>
        <w:t>的热门语言，毫无疑问是最具优势的。</w:t>
      </w:r>
    </w:p>
    <w:p>
      <w:pPr>
        <w:pStyle w:val="4"/>
        <w:numPr>
          <w:ilvl w:val="0"/>
          <w:numId w:val="24"/>
        </w:numPr>
        <w:spacing w:line="360" w:lineRule="auto"/>
        <w:ind w:firstLine="562"/>
      </w:pPr>
      <w:bookmarkStart w:id="195" w:name="_Toc3471"/>
      <w:bookmarkStart w:id="196" w:name="_Toc22910"/>
      <w:r>
        <w:rPr>
          <w:rFonts w:hint="eastAsia"/>
        </w:rPr>
        <w:t>强化服务，深度开展校企合作</w:t>
      </w:r>
      <w:bookmarkEnd w:id="195"/>
      <w:bookmarkEnd w:id="196"/>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在经济发展全球化背景</w:t>
      </w:r>
      <w:r>
        <w:rPr>
          <w:rFonts w:hint="eastAsia" w:cs="仿宋_GB2312" w:asciiTheme="minorEastAsia" w:hAnsiTheme="minorEastAsia" w:eastAsiaTheme="minorEastAsia"/>
          <w:sz w:val="28"/>
          <w:szCs w:val="28"/>
        </w:rPr>
        <w:t>和中俄合作领域不断加深的趋势下，高水平</w:t>
      </w:r>
      <w:r>
        <w:rPr>
          <w:rFonts w:hint="eastAsia" w:cs="仿宋_GB2312" w:asciiTheme="minorEastAsia" w:hAnsiTheme="minorEastAsia" w:eastAsiaTheme="minorEastAsia"/>
          <w:color w:val="FF0000"/>
          <w:sz w:val="28"/>
          <w:szCs w:val="28"/>
        </w:rPr>
        <w:t>、</w:t>
      </w:r>
      <w:r>
        <w:rPr>
          <w:rFonts w:hint="eastAsia" w:cs="仿宋_GB2312" w:asciiTheme="minorEastAsia" w:hAnsiTheme="minorEastAsia" w:eastAsiaTheme="minorEastAsia"/>
          <w:sz w:val="28"/>
          <w:szCs w:val="28"/>
        </w:rPr>
        <w:t>高层次俄语人才奇缺，面对良好的俄语就业机遇和挑战，</w:t>
      </w:r>
      <w:r>
        <w:rPr>
          <w:rFonts w:cs="仿宋_GB2312" w:asciiTheme="minorEastAsia" w:hAnsiTheme="minorEastAsia" w:eastAsiaTheme="minorEastAsia"/>
          <w:sz w:val="28"/>
          <w:szCs w:val="28"/>
        </w:rPr>
        <w:t>俄语专业以服务地方为导向</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增强俄语课程的实践性、应用性、综合性，积极建立校外实践基地，形成产教融合</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协同育人的人才培养模式</w:t>
      </w:r>
      <w:r>
        <w:rPr>
          <w:rFonts w:hint="eastAsia" w:cs="仿宋_GB2312" w:asciiTheme="minorEastAsia" w:hAnsiTheme="minorEastAsia" w:eastAsiaTheme="minorEastAsia"/>
          <w:sz w:val="28"/>
          <w:szCs w:val="28"/>
        </w:rPr>
        <w:t>；加大校企合作力度，制定相应的合作计划和内容，将一些优秀的企事业单位作为合作对象，积极配合地方企业的需求，满足地方经济发展和文化交流需要。长期的、稳定的合作，为俄语专业的学生提供更多</w:t>
      </w:r>
      <w:r>
        <w:rPr>
          <w:rFonts w:hint="eastAsia" w:cs="仿宋_GB2312" w:asciiTheme="minorEastAsia" w:hAnsiTheme="minorEastAsia" w:eastAsiaTheme="minorEastAsia"/>
          <w:sz w:val="28"/>
          <w:szCs w:val="28"/>
          <w:lang w:val="en-US" w:eastAsia="zh-CN"/>
        </w:rPr>
        <w:t>的</w:t>
      </w:r>
      <w:r>
        <w:rPr>
          <w:rFonts w:hint="eastAsia" w:cs="仿宋_GB2312" w:asciiTheme="minorEastAsia" w:hAnsiTheme="minorEastAsia" w:eastAsiaTheme="minorEastAsia"/>
          <w:sz w:val="28"/>
          <w:szCs w:val="28"/>
        </w:rPr>
        <w:t>语言实践环境，提高了实践应</w:t>
      </w:r>
      <w:r>
        <w:rPr>
          <w:rFonts w:hint="eastAsia" w:cs="仿宋_GB2312" w:asciiTheme="minorEastAsia" w:hAnsiTheme="minorEastAsia" w:eastAsiaTheme="minorEastAsia"/>
          <w:color w:val="000000" w:themeColor="text1"/>
          <w:sz w:val="28"/>
          <w:szCs w:val="28"/>
          <w14:textFill>
            <w14:solidFill>
              <w14:schemeClr w14:val="tx1"/>
            </w14:solidFill>
          </w14:textFill>
        </w:rPr>
        <w:t>用能力，同时也为企事业单位解决人才</w:t>
      </w:r>
      <w:r>
        <w:rPr>
          <w:rFonts w:hint="eastAsia" w:cs="仿宋_GB2312" w:asciiTheme="minorEastAsia" w:hAnsiTheme="minorEastAsia" w:eastAsiaTheme="minorEastAsia"/>
          <w:sz w:val="28"/>
          <w:szCs w:val="28"/>
        </w:rPr>
        <w:t>需求问题，实现双向共赢。</w:t>
      </w:r>
    </w:p>
    <w:p>
      <w:pPr>
        <w:pStyle w:val="4"/>
        <w:numPr>
          <w:ilvl w:val="0"/>
          <w:numId w:val="25"/>
        </w:numPr>
        <w:spacing w:line="360" w:lineRule="auto"/>
        <w:ind w:firstLine="562"/>
      </w:pPr>
      <w:bookmarkStart w:id="197" w:name="_Toc30283"/>
      <w:bookmarkStart w:id="198" w:name="_Toc30645"/>
      <w:r>
        <w:rPr>
          <w:rFonts w:hint="eastAsia"/>
        </w:rPr>
        <w:t>借助优势，提升学生综合实践能力</w:t>
      </w:r>
      <w:bookmarkEnd w:id="197"/>
      <w:bookmarkEnd w:id="198"/>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我们在注重理论教学的同时，加强了实践教学环节，做到理论与实践相结合，充分利用学校的地域优势，注重引导学生参与社会实践和交流活动</w:t>
      </w:r>
      <w:r>
        <w:rPr>
          <w:rFonts w:hint="eastAsia" w:cs="仿宋_GB2312" w:asciiTheme="minorEastAsia" w:hAnsiTheme="minorEastAsia" w:eastAsiaTheme="minorEastAsia"/>
          <w:color w:val="000000" w:themeColor="text1"/>
          <w:sz w:val="28"/>
          <w:szCs w:val="28"/>
          <w14:textFill>
            <w14:solidFill>
              <w14:schemeClr w14:val="tx1"/>
            </w14:solidFill>
          </w14:textFill>
        </w:rPr>
        <w:t>，</w:t>
      </w:r>
      <w:r>
        <w:rPr>
          <w:rFonts w:cs="仿宋_GB2312" w:asciiTheme="minorEastAsia" w:hAnsiTheme="minorEastAsia" w:eastAsiaTheme="minorEastAsia"/>
          <w:sz w:val="28"/>
          <w:szCs w:val="28"/>
        </w:rPr>
        <w:t>鼓励学生参加中俄科技</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文化交流方面的调研</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参与产品说明书</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对俄经贸旅游的翻译工作等</w:t>
      </w:r>
      <w:r>
        <w:rPr>
          <w:rFonts w:hint="eastAsia" w:cs="仿宋_GB2312" w:asciiTheme="minorEastAsia" w:hAnsiTheme="minorEastAsia" w:eastAsiaTheme="minorEastAsia"/>
          <w:color w:val="000000" w:themeColor="text1"/>
          <w:sz w:val="28"/>
          <w:szCs w:val="28"/>
          <w14:textFill>
            <w14:solidFill>
              <w14:schemeClr w14:val="tx1"/>
            </w14:solidFill>
          </w14:textFill>
        </w:rPr>
        <w:t>，</w:t>
      </w:r>
      <w:r>
        <w:rPr>
          <w:rFonts w:hint="eastAsia" w:cs="仿宋_GB2312" w:asciiTheme="minorEastAsia" w:hAnsiTheme="minorEastAsia" w:eastAsiaTheme="minorEastAsia"/>
          <w:sz w:val="28"/>
          <w:szCs w:val="28"/>
        </w:rPr>
        <w:t>大力发展中俄合作办学，选派学生赴俄学习，加强与俄罗斯高校在互派留学生、建立赴俄境外短期实习基地等方面的交流与合作。为服务地区经济发展和文化交流，培养和输出更多高质量复合应用型俄语人才。</w:t>
      </w:r>
    </w:p>
    <w:p>
      <w:pPr>
        <w:pStyle w:val="4"/>
        <w:numPr>
          <w:ilvl w:val="0"/>
          <w:numId w:val="26"/>
        </w:numPr>
        <w:spacing w:line="360" w:lineRule="auto"/>
        <w:ind w:firstLine="562"/>
      </w:pPr>
      <w:bookmarkStart w:id="199" w:name="_Toc18802"/>
      <w:bookmarkStart w:id="200" w:name="_Toc14601"/>
      <w:r>
        <w:t>构建多元性</w:t>
      </w:r>
      <w:r>
        <w:rPr>
          <w:rFonts w:hint="eastAsia"/>
        </w:rPr>
        <w:t>、</w:t>
      </w:r>
      <w:r>
        <w:t>开放式的</w:t>
      </w:r>
      <w:r>
        <w:rPr>
          <w:rFonts w:hint="eastAsia"/>
        </w:rPr>
        <w:t>课程体系</w:t>
      </w:r>
      <w:bookmarkEnd w:id="199"/>
      <w:bookmarkEnd w:id="200"/>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俄语专业培养计划开设课程由“通识通修课程平台、学科专业课程平台、多元培养选修课程平台”三个模块组成。总学分为208.5学分，各部分课程占总学分的比例分别为：22.30%、45.08%、26.84%。主要课程为基础俄语、高级俄语、俄语泛读、初级语法、中级语法、俄语视听说、俄语语音、俄汉互译（笔译）、俄汉互译（口译）、</w:t>
      </w:r>
      <w:r>
        <w:rPr>
          <w:rFonts w:hint="eastAsia" w:cs="仿宋_GB2312" w:asciiTheme="minorEastAsia" w:hAnsiTheme="minorEastAsia" w:eastAsiaTheme="minorEastAsia"/>
          <w:color w:val="000000" w:themeColor="text1"/>
          <w:sz w:val="28"/>
          <w:szCs w:val="28"/>
          <w14:textFill>
            <w14:solidFill>
              <w14:schemeClr w14:val="tx1"/>
            </w14:solidFill>
          </w14:textFill>
        </w:rPr>
        <w:t>俄语修辞学</w:t>
      </w:r>
      <w:r>
        <w:rPr>
          <w:rFonts w:hint="eastAsia" w:cs="仿宋_GB2312" w:asciiTheme="minorEastAsia" w:hAnsiTheme="minorEastAsia" w:eastAsiaTheme="minorEastAsia"/>
          <w:sz w:val="28"/>
          <w:szCs w:val="28"/>
        </w:rPr>
        <w:t>、应用文翻译、</w:t>
      </w:r>
      <w:r>
        <w:rPr>
          <w:rFonts w:cs="仿宋_GB2312" w:asciiTheme="minorEastAsia" w:hAnsiTheme="minorEastAsia" w:eastAsiaTheme="minorEastAsia"/>
          <w:sz w:val="28"/>
          <w:szCs w:val="28"/>
        </w:rPr>
        <w:t>现代俄语概论</w:t>
      </w:r>
      <w:r>
        <w:rPr>
          <w:rFonts w:hint="eastAsia" w:cs="仿宋_GB2312" w:asciiTheme="minorEastAsia" w:hAnsiTheme="minorEastAsia" w:eastAsiaTheme="minorEastAsia"/>
          <w:sz w:val="28"/>
          <w:szCs w:val="28"/>
        </w:rPr>
        <w:t>、国际贸易实务、实用商务口语、经贸俄语、导游实务、应用文写作（汉、俄）等。实践教学</w:t>
      </w:r>
      <w:r>
        <w:rPr>
          <w:rFonts w:hint="eastAsia" w:cs="仿宋_GB2312" w:asciiTheme="minorEastAsia" w:hAnsiTheme="minorEastAsia" w:eastAsiaTheme="minorEastAsia"/>
          <w:sz w:val="28"/>
          <w:szCs w:val="28"/>
          <w:lang w:val="en-US" w:eastAsia="zh-CN"/>
        </w:rPr>
        <w:t>由俄文操作、</w:t>
      </w:r>
      <w:r>
        <w:rPr>
          <w:rFonts w:hint="eastAsia" w:cs="仿宋_GB2312" w:asciiTheme="minorEastAsia" w:hAnsiTheme="minorEastAsia" w:eastAsiaTheme="minorEastAsia"/>
          <w:sz w:val="28"/>
          <w:szCs w:val="28"/>
        </w:rPr>
        <w:t>第二课堂、专业社会实践、毕业论文等23门课程，共计75学分，1118学时组成。由此可见，课程设置与多元化、应用型的专业培养目标相适应，契合服务区域经济发展的需求。</w:t>
      </w:r>
      <w:bookmarkStart w:id="201" w:name="_Toc792"/>
      <w:bookmarkStart w:id="202" w:name="_Toc15051"/>
    </w:p>
    <w:p>
      <w:pPr>
        <w:pStyle w:val="3"/>
        <w:ind w:firstLine="560"/>
      </w:pPr>
      <w:bookmarkStart w:id="203" w:name="_Toc13042"/>
      <w:bookmarkStart w:id="204" w:name="_Toc12111"/>
      <w:r>
        <w:rPr>
          <w:rFonts w:hint="eastAsia"/>
        </w:rPr>
        <w:t>（三）专业特色</w:t>
      </w:r>
      <w:bookmarkEnd w:id="201"/>
      <w:bookmarkEnd w:id="202"/>
      <w:bookmarkEnd w:id="203"/>
      <w:bookmarkEnd w:id="204"/>
    </w:p>
    <w:p>
      <w:pPr>
        <w:adjustRightInd w:val="0"/>
        <w:snapToGrid w:val="0"/>
        <w:spacing w:beforeAutospacing="0" w:afterAutospacing="0" w:line="360" w:lineRule="auto"/>
        <w:ind w:firstLine="560"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本专业坚持以服务龙江东部四煤城转型发展，全面全方位振兴龙江经济为宗旨，以提升俄语人才综合实践能力和社会服务能力为核心，深化实施内涵建设</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w:t>
      </w:r>
      <w:r>
        <w:rPr>
          <w:rFonts w:hint="eastAsia" w:cs="仿宋_GB2312" w:asciiTheme="minorEastAsia" w:hAnsiTheme="minorEastAsia" w:eastAsiaTheme="minorEastAsia"/>
          <w:color w:val="000000" w:themeColor="text1"/>
          <w:sz w:val="28"/>
          <w:szCs w:val="28"/>
          <w14:textFill>
            <w14:solidFill>
              <w14:schemeClr w14:val="tx1"/>
            </w14:solidFill>
          </w14:textFill>
        </w:rPr>
        <w:t>不断完善人才培养方案，根据社会人才的需求情况，优化学科专业结构和课程体系，创新教学方法</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w:t>
      </w:r>
      <w:r>
        <w:rPr>
          <w:rFonts w:hint="eastAsia" w:cs="仿宋_GB2312" w:asciiTheme="minorEastAsia" w:hAnsiTheme="minorEastAsia" w:eastAsiaTheme="minorEastAsia"/>
          <w:color w:val="000000" w:themeColor="text1"/>
          <w:sz w:val="28"/>
          <w:szCs w:val="28"/>
          <w14:textFill>
            <w14:solidFill>
              <w14:schemeClr w14:val="tx1"/>
            </w14:solidFill>
          </w14:textFill>
        </w:rPr>
        <w:t>以服务为导向，以校企合作为途径，为龙江地区经济发展，培养德才兼备的“复合应用型”俄语专业人才。</w:t>
      </w:r>
    </w:p>
    <w:p>
      <w:pPr>
        <w:pStyle w:val="4"/>
        <w:numPr>
          <w:ilvl w:val="0"/>
          <w:numId w:val="27"/>
        </w:numPr>
        <w:spacing w:line="360" w:lineRule="auto"/>
        <w:ind w:firstLine="562"/>
      </w:pPr>
      <w:bookmarkStart w:id="205" w:name="_Toc27456"/>
      <w:bookmarkStart w:id="206" w:name="_Toc22337"/>
      <w:r>
        <w:rPr>
          <w:rFonts w:hint="eastAsia"/>
        </w:rPr>
        <w:t>多元培养，拓宽就业</w:t>
      </w:r>
      <w:bookmarkEnd w:id="205"/>
      <w:bookmarkEnd w:id="206"/>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color w:val="000000" w:themeColor="text1"/>
          <w:sz w:val="28"/>
          <w:szCs w:val="28"/>
          <w14:textFill>
            <w14:solidFill>
              <w14:schemeClr w14:val="tx1"/>
            </w14:solidFill>
          </w14:textFill>
        </w:rPr>
        <w:t>为进一步拓宽专业口径、扩大就业途径，更好地服务区域经济发展</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w:t>
      </w:r>
      <w:r>
        <w:rPr>
          <w:rFonts w:hint="eastAsia" w:cs="仿宋_GB2312" w:asciiTheme="minorEastAsia" w:hAnsiTheme="minorEastAsia" w:eastAsiaTheme="minorEastAsia"/>
          <w:color w:val="000000" w:themeColor="text1"/>
          <w:sz w:val="28"/>
          <w:szCs w:val="28"/>
          <w14:textFill>
            <w14:solidFill>
              <w14:schemeClr w14:val="tx1"/>
            </w14:solidFill>
          </w14:textFill>
        </w:rPr>
        <w:t>充分发展学生个性和特长，满足学生的不同知识需求，俄语专业开设了16门专业选修课，根据本</w:t>
      </w:r>
      <w:r>
        <w:rPr>
          <w:rFonts w:hint="eastAsia" w:cs="仿宋_GB2312" w:asciiTheme="minorEastAsia" w:hAnsiTheme="minorEastAsia" w:eastAsiaTheme="minorEastAsia"/>
          <w:sz w:val="28"/>
          <w:szCs w:val="28"/>
        </w:rPr>
        <w:t>专业培养目标和培养定位，全面推行学分制和模块化教学，突出多元性、个性化、开放式的课程体系，鼓励学生跨学科、跨专业学习，选修课学分达到总学分30%以上，实践学时占比达到30%以上。</w:t>
      </w:r>
    </w:p>
    <w:p>
      <w:pPr>
        <w:adjustRightInd w:val="0"/>
        <w:snapToGrid w:val="0"/>
        <w:spacing w:beforeAutospacing="0" w:afterAutospacing="0" w:line="360" w:lineRule="auto"/>
        <w:ind w:firstLine="560"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sz w:val="28"/>
          <w:szCs w:val="28"/>
        </w:rPr>
        <w:t>建立更加开放的学分置换政策，支持学生跨专业、跨年级选修课程，鼓励学生通过参加社会实践、出国留学、创新创业、竞赛活动、读研、慕课</w:t>
      </w:r>
      <w:r>
        <w:rPr>
          <w:rFonts w:hint="eastAsia" w:cs="仿宋_GB2312" w:asciiTheme="minorEastAsia" w:hAnsiTheme="minorEastAsia" w:eastAsiaTheme="minorEastAsia"/>
          <w:color w:val="000000" w:themeColor="text1"/>
          <w:sz w:val="28"/>
          <w:szCs w:val="28"/>
          <w14:textFill>
            <w14:solidFill>
              <w14:schemeClr w14:val="tx1"/>
            </w14:solidFill>
          </w14:textFill>
        </w:rPr>
        <w:t>学习、发表论文等获取学分；鼓励学生通过参与校际合作、校企合作、对外合作等项目的课程学习获取学分；通过短期创业实践获得学分。此外，推行“1+X”证书制度，鼓励学生获得学历证书的同时，取得多类职业技能等级证书，增强就业创业本领。</w:t>
      </w:r>
    </w:p>
    <w:p>
      <w:pPr>
        <w:pStyle w:val="4"/>
        <w:numPr>
          <w:ilvl w:val="0"/>
          <w:numId w:val="28"/>
        </w:numPr>
        <w:spacing w:line="360" w:lineRule="auto"/>
        <w:ind w:firstLine="562"/>
      </w:pPr>
      <w:bookmarkStart w:id="207" w:name="_Toc23965"/>
      <w:bookmarkStart w:id="208" w:name="_Toc20075"/>
      <w:r>
        <w:rPr>
          <w:rFonts w:hint="eastAsia"/>
        </w:rPr>
        <w:t>学科结构合理，特色鲜明</w:t>
      </w:r>
      <w:bookmarkEnd w:id="207"/>
      <w:bookmarkEnd w:id="208"/>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根据本专业培养目标和培养定位，课程设置为通识通修课程</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包括创新创业课、通识教育课，思想政治课、军事理论课和分层次通修等课程</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专业课程</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由专业核心课、学科平台课组成</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多元选修课程</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包括专业选修课、第二课堂</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lang w:val="en-US" w:eastAsia="zh-CN"/>
        </w:rPr>
        <w:t>以及专业实践课和</w:t>
      </w:r>
      <w:r>
        <w:rPr>
          <w:rFonts w:hint="eastAsia" w:cs="仿宋_GB2312" w:asciiTheme="minorEastAsia" w:hAnsiTheme="minorEastAsia" w:eastAsiaTheme="minorEastAsia"/>
          <w:sz w:val="28"/>
          <w:szCs w:val="28"/>
        </w:rPr>
        <w:t>毕业论文等。在培养计划上体现出专业课程知识的系统性、连续性；在课程设置上，注重语言基础知识、能力技能培养与综合素质的关系。此外，设置专门的实践学期、实践教学课程，开展第二课堂活动，保证学生综合实践能力的提高。学生从大三年级开始可选择出国留学，在俄罗斯高校</w:t>
      </w:r>
      <w:r>
        <w:rPr>
          <w:rFonts w:hint="eastAsia" w:cs="仿宋_GB2312" w:asciiTheme="minorEastAsia" w:hAnsiTheme="minorEastAsia" w:eastAsiaTheme="minorEastAsia"/>
          <w:color w:val="000000" w:themeColor="text1"/>
          <w:sz w:val="28"/>
          <w:szCs w:val="28"/>
          <w14:textFill>
            <w14:solidFill>
              <w14:schemeClr w14:val="tx1"/>
            </w14:solidFill>
          </w14:textFill>
        </w:rPr>
        <w:t>学习的课程设置对应我校俄语专业课程或高于我校课程的标准，并可以进行学分置</w:t>
      </w:r>
      <w:r>
        <w:rPr>
          <w:rFonts w:hint="eastAsia" w:cs="仿宋_GB2312" w:asciiTheme="minorEastAsia" w:hAnsiTheme="minorEastAsia" w:eastAsiaTheme="minorEastAsia"/>
          <w:sz w:val="28"/>
          <w:szCs w:val="28"/>
        </w:rPr>
        <w:t>换。</w:t>
      </w:r>
    </w:p>
    <w:p>
      <w:pPr>
        <w:pStyle w:val="4"/>
        <w:numPr>
          <w:ilvl w:val="0"/>
          <w:numId w:val="29"/>
        </w:numPr>
        <w:spacing w:line="360" w:lineRule="auto"/>
        <w:ind w:firstLine="562"/>
      </w:pPr>
      <w:bookmarkStart w:id="209" w:name="_Toc307"/>
      <w:bookmarkStart w:id="210" w:name="_Toc13440"/>
      <w:r>
        <w:t>差异教学</w:t>
      </w:r>
      <w:r>
        <w:rPr>
          <w:rFonts w:hint="eastAsia"/>
        </w:rPr>
        <w:t>，深化内涵</w:t>
      </w:r>
      <w:bookmarkEnd w:id="209"/>
      <w:bookmarkEnd w:id="210"/>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秉承特色兴校指导思想，以我校一流应用技术大学建设为目标，落实学校“1146”内涵式建设发展模式，俄语专业于</w:t>
      </w:r>
      <w:r>
        <w:rPr>
          <w:rFonts w:cs="仿宋_GB2312" w:asciiTheme="minorEastAsia" w:hAnsiTheme="minorEastAsia" w:eastAsiaTheme="minorEastAsia"/>
          <w:sz w:val="28"/>
          <w:szCs w:val="28"/>
        </w:rPr>
        <w:t>2018</w:t>
      </w:r>
      <w:r>
        <w:rPr>
          <w:rFonts w:hint="eastAsia" w:cs="仿宋_GB2312" w:asciiTheme="minorEastAsia" w:hAnsiTheme="minorEastAsia" w:eastAsiaTheme="minorEastAsia"/>
          <w:sz w:val="28"/>
          <w:szCs w:val="28"/>
        </w:rPr>
        <w:t>年</w:t>
      </w:r>
      <w:r>
        <w:rPr>
          <w:rFonts w:cs="仿宋_GB2312" w:asciiTheme="minorEastAsia" w:hAnsiTheme="minorEastAsia" w:eastAsiaTheme="minorEastAsia"/>
          <w:sz w:val="28"/>
          <w:szCs w:val="28"/>
        </w:rPr>
        <w:t>9</w:t>
      </w:r>
      <w:r>
        <w:rPr>
          <w:rFonts w:hint="eastAsia" w:cs="仿宋_GB2312" w:asciiTheme="minorEastAsia" w:hAnsiTheme="minorEastAsia" w:eastAsiaTheme="minorEastAsia"/>
          <w:sz w:val="28"/>
          <w:szCs w:val="28"/>
        </w:rPr>
        <w:t>月在</w:t>
      </w:r>
      <w:r>
        <w:rPr>
          <w:rFonts w:cs="仿宋_GB2312" w:asciiTheme="minorEastAsia" w:hAnsiTheme="minorEastAsia" w:eastAsiaTheme="minorEastAsia"/>
          <w:sz w:val="28"/>
          <w:szCs w:val="28"/>
        </w:rPr>
        <w:t>18</w:t>
      </w:r>
      <w:r>
        <w:rPr>
          <w:rFonts w:hint="eastAsia" w:cs="仿宋_GB2312" w:asciiTheme="minorEastAsia" w:hAnsiTheme="minorEastAsia" w:eastAsiaTheme="minorEastAsia"/>
          <w:sz w:val="28"/>
          <w:szCs w:val="28"/>
        </w:rPr>
        <w:t>级本科生中正式实施差异教学，我们将18级学生分为三个班级：“考研实验班”的学生平均成绩必须在80分以上，未来的志愿是继续深造；“多元</w:t>
      </w:r>
      <w:r>
        <w:rPr>
          <w:rFonts w:hint="eastAsia" w:cs="仿宋_GB2312" w:asciiTheme="minorEastAsia" w:hAnsiTheme="minorEastAsia" w:eastAsiaTheme="minorEastAsia"/>
          <w:color w:val="000000" w:themeColor="text1"/>
          <w:sz w:val="28"/>
          <w:szCs w:val="28"/>
          <w14:textFill>
            <w14:solidFill>
              <w14:schemeClr w14:val="tx1"/>
            </w14:solidFill>
          </w14:textFill>
        </w:rPr>
        <w:t>发展班”的平均成绩在60分以上，毕业意向多种多样，既可以选择继续深造，也可以选择直接就业；“应用实践班”学生的平均成绩在60分以下，教学内容主要倾向于应用和实用（差异教学的详细情况见14页教学改革的主要方面，这里就不一一赘述了）。在差异教学过程中，教师根据学生对知识需求和掌握情况的差</w:t>
      </w:r>
      <w:r>
        <w:rPr>
          <w:rFonts w:hint="eastAsia" w:cs="仿宋_GB2312" w:asciiTheme="minorEastAsia" w:hAnsiTheme="minorEastAsia" w:eastAsiaTheme="minorEastAsia"/>
          <w:sz w:val="28"/>
          <w:szCs w:val="28"/>
        </w:rPr>
        <w:t>异，选择适当的教学内容，在教学进度、教学目标、教学方法、考核形式等方面都要进行一一的调整，以实现教学资源合理配置，教学内容有的放矢。</w:t>
      </w:r>
    </w:p>
    <w:p>
      <w:pPr>
        <w:pStyle w:val="4"/>
        <w:numPr>
          <w:ilvl w:val="0"/>
          <w:numId w:val="30"/>
        </w:numPr>
        <w:spacing w:line="360" w:lineRule="auto"/>
        <w:ind w:firstLine="562"/>
      </w:pPr>
      <w:bookmarkStart w:id="211" w:name="_Toc1647"/>
      <w:bookmarkStart w:id="212" w:name="_Toc14944"/>
      <w:r>
        <w:rPr>
          <w:rFonts w:hint="eastAsia"/>
        </w:rPr>
        <w:t>集体备课，注重质量</w:t>
      </w:r>
      <w:bookmarkEnd w:id="211"/>
      <w:bookmarkEnd w:id="212"/>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俄语教研室要求在每次</w:t>
      </w:r>
      <w:r>
        <w:rPr>
          <w:rFonts w:cs="仿宋_GB2312" w:asciiTheme="minorEastAsia" w:hAnsiTheme="minorEastAsia" w:eastAsiaTheme="minorEastAsia"/>
          <w:sz w:val="28"/>
          <w:szCs w:val="28"/>
        </w:rPr>
        <w:t>教研会议上，同课程的教师</w:t>
      </w:r>
      <w:r>
        <w:rPr>
          <w:rFonts w:hint="eastAsia" w:cs="仿宋_GB2312" w:asciiTheme="minorEastAsia" w:hAnsiTheme="minorEastAsia" w:eastAsiaTheme="minorEastAsia"/>
          <w:sz w:val="28"/>
          <w:szCs w:val="28"/>
        </w:rPr>
        <w:t>要做到</w:t>
      </w:r>
      <w:r>
        <w:rPr>
          <w:rFonts w:cs="仿宋_GB2312" w:asciiTheme="minorEastAsia" w:hAnsiTheme="minorEastAsia" w:eastAsiaTheme="minorEastAsia"/>
          <w:sz w:val="28"/>
          <w:szCs w:val="28"/>
        </w:rPr>
        <w:t>互相通课</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六个统一</w:t>
      </w:r>
      <w:r>
        <w:rPr>
          <w:rFonts w:hint="eastAsia" w:cs="仿宋_GB2312" w:asciiTheme="minorEastAsia" w:hAnsiTheme="minorEastAsia" w:eastAsiaTheme="minorEastAsia"/>
          <w:sz w:val="28"/>
          <w:szCs w:val="28"/>
        </w:rPr>
        <w:t>，即：</w:t>
      </w:r>
      <w:r>
        <w:rPr>
          <w:rFonts w:cs="仿宋_GB2312" w:asciiTheme="minorEastAsia" w:hAnsiTheme="minorEastAsia" w:eastAsiaTheme="minorEastAsia"/>
          <w:sz w:val="28"/>
          <w:szCs w:val="28"/>
        </w:rPr>
        <w:t>统一进度，统一教学目的，统一每一节课授课的共性内容，统一重难点，统一作业，统一考查。教师</w:t>
      </w:r>
      <w:r>
        <w:rPr>
          <w:rFonts w:hint="eastAsia" w:cs="仿宋_GB2312" w:asciiTheme="minorEastAsia" w:hAnsiTheme="minorEastAsia" w:eastAsiaTheme="minorEastAsia"/>
          <w:sz w:val="28"/>
          <w:szCs w:val="28"/>
        </w:rPr>
        <w:t>们互通经验教训，相互传授自己的</w:t>
      </w:r>
      <w:r>
        <w:rPr>
          <w:rFonts w:cs="仿宋_GB2312" w:asciiTheme="minorEastAsia" w:hAnsiTheme="minorEastAsia" w:eastAsiaTheme="minorEastAsia"/>
          <w:sz w:val="28"/>
          <w:szCs w:val="28"/>
        </w:rPr>
        <w:t>教学理论、教学方法</w:t>
      </w:r>
      <w:r>
        <w:rPr>
          <w:rFonts w:hint="eastAsia" w:cs="仿宋_GB2312" w:asciiTheme="minorEastAsia" w:hAnsiTheme="minorEastAsia" w:eastAsiaTheme="minorEastAsia"/>
          <w:sz w:val="28"/>
          <w:szCs w:val="28"/>
        </w:rPr>
        <w:t>以及对</w:t>
      </w:r>
      <w:r>
        <w:rPr>
          <w:rFonts w:cs="仿宋_GB2312" w:asciiTheme="minorEastAsia" w:hAnsiTheme="minorEastAsia" w:eastAsiaTheme="minorEastAsia"/>
          <w:sz w:val="28"/>
          <w:szCs w:val="28"/>
        </w:rPr>
        <w:t>教学内容的理解</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在相互通课的基础上，</w:t>
      </w:r>
      <w:r>
        <w:rPr>
          <w:rFonts w:hint="eastAsia" w:cs="仿宋_GB2312" w:asciiTheme="minorEastAsia" w:hAnsiTheme="minorEastAsia" w:eastAsiaTheme="minorEastAsia"/>
          <w:sz w:val="28"/>
          <w:szCs w:val="28"/>
        </w:rPr>
        <w:t>教师们</w:t>
      </w:r>
      <w:r>
        <w:rPr>
          <w:rFonts w:cs="仿宋_GB2312" w:asciiTheme="minorEastAsia" w:hAnsiTheme="minorEastAsia" w:eastAsiaTheme="minorEastAsia"/>
          <w:sz w:val="28"/>
          <w:szCs w:val="28"/>
        </w:rPr>
        <w:t>进行二次备课，</w:t>
      </w:r>
      <w:r>
        <w:rPr>
          <w:rFonts w:hint="eastAsia" w:cs="仿宋_GB2312" w:asciiTheme="minorEastAsia" w:hAnsiTheme="minorEastAsia" w:eastAsiaTheme="minorEastAsia"/>
          <w:sz w:val="28"/>
          <w:szCs w:val="28"/>
        </w:rPr>
        <w:t>并</w:t>
      </w:r>
      <w:r>
        <w:rPr>
          <w:rFonts w:cs="仿宋_GB2312" w:asciiTheme="minorEastAsia" w:hAnsiTheme="minorEastAsia" w:eastAsiaTheme="minorEastAsia"/>
          <w:sz w:val="28"/>
          <w:szCs w:val="28"/>
        </w:rPr>
        <w:t>根据自己的教学风格、不同的教学对象，</w:t>
      </w:r>
      <w:r>
        <w:rPr>
          <w:rFonts w:hint="eastAsia" w:cs="仿宋_GB2312" w:asciiTheme="minorEastAsia" w:hAnsiTheme="minorEastAsia" w:eastAsiaTheme="minorEastAsia"/>
          <w:sz w:val="28"/>
          <w:szCs w:val="28"/>
        </w:rPr>
        <w:t>进行适当的调整，从而</w:t>
      </w:r>
      <w:r>
        <w:rPr>
          <w:rFonts w:cs="仿宋_GB2312" w:asciiTheme="minorEastAsia" w:hAnsiTheme="minorEastAsia" w:eastAsiaTheme="minorEastAsia"/>
          <w:sz w:val="28"/>
          <w:szCs w:val="28"/>
        </w:rPr>
        <w:t>使教案具有个性化特征。通过教师间的交流，</w:t>
      </w:r>
      <w:r>
        <w:rPr>
          <w:rFonts w:hint="eastAsia" w:cs="仿宋_GB2312" w:asciiTheme="minorEastAsia" w:hAnsiTheme="minorEastAsia" w:eastAsiaTheme="minorEastAsia"/>
          <w:sz w:val="28"/>
          <w:szCs w:val="28"/>
        </w:rPr>
        <w:t>大家</w:t>
      </w:r>
      <w:r>
        <w:rPr>
          <w:rFonts w:cs="仿宋_GB2312" w:asciiTheme="minorEastAsia" w:hAnsiTheme="minorEastAsia" w:eastAsiaTheme="minorEastAsia"/>
          <w:sz w:val="28"/>
          <w:szCs w:val="28"/>
        </w:rPr>
        <w:t>充分发挥</w:t>
      </w:r>
      <w:r>
        <w:rPr>
          <w:rFonts w:hint="eastAsia" w:cs="仿宋_GB2312" w:asciiTheme="minorEastAsia" w:hAnsiTheme="minorEastAsia" w:eastAsiaTheme="minorEastAsia"/>
          <w:sz w:val="28"/>
          <w:szCs w:val="28"/>
        </w:rPr>
        <w:t>了</w:t>
      </w:r>
      <w:r>
        <w:rPr>
          <w:rFonts w:cs="仿宋_GB2312" w:asciiTheme="minorEastAsia" w:hAnsiTheme="minorEastAsia" w:eastAsiaTheme="minorEastAsia"/>
          <w:sz w:val="28"/>
          <w:szCs w:val="28"/>
        </w:rPr>
        <w:t>集体智慧，做到</w:t>
      </w:r>
      <w:r>
        <w:rPr>
          <w:rFonts w:hint="eastAsia" w:cs="仿宋_GB2312" w:asciiTheme="minorEastAsia" w:hAnsiTheme="minorEastAsia" w:eastAsiaTheme="minorEastAsia"/>
          <w:sz w:val="28"/>
          <w:szCs w:val="28"/>
        </w:rPr>
        <w:t>资源</w:t>
      </w:r>
      <w:r>
        <w:rPr>
          <w:rFonts w:cs="仿宋_GB2312" w:asciiTheme="minorEastAsia" w:hAnsiTheme="minorEastAsia" w:eastAsiaTheme="minorEastAsia"/>
          <w:sz w:val="28"/>
          <w:szCs w:val="28"/>
        </w:rPr>
        <w:t>共享</w:t>
      </w:r>
      <w:r>
        <w:rPr>
          <w:rFonts w:hint="eastAsia" w:cs="仿宋_GB2312" w:asciiTheme="minorEastAsia" w:hAnsiTheme="minorEastAsia" w:eastAsiaTheme="minorEastAsia"/>
          <w:color w:val="FF0000"/>
          <w:sz w:val="28"/>
          <w:szCs w:val="28"/>
        </w:rPr>
        <w:t>，</w:t>
      </w:r>
      <w:r>
        <w:rPr>
          <w:rFonts w:hint="eastAsia" w:cs="仿宋_GB2312" w:asciiTheme="minorEastAsia" w:hAnsiTheme="minorEastAsia" w:eastAsiaTheme="minorEastAsia"/>
          <w:sz w:val="28"/>
          <w:szCs w:val="28"/>
        </w:rPr>
        <w:t>集体备课活动</w:t>
      </w:r>
      <w:r>
        <w:rPr>
          <w:rFonts w:cs="仿宋_GB2312" w:asciiTheme="minorEastAsia" w:hAnsiTheme="minorEastAsia" w:eastAsiaTheme="minorEastAsia"/>
          <w:sz w:val="28"/>
          <w:szCs w:val="28"/>
        </w:rPr>
        <w:t>有利于准确把握教学的重难点，提高整体教学</w:t>
      </w:r>
      <w:r>
        <w:rPr>
          <w:rFonts w:hint="eastAsia" w:cs="仿宋_GB2312" w:asciiTheme="minorEastAsia" w:hAnsiTheme="minorEastAsia" w:eastAsiaTheme="minorEastAsia"/>
          <w:sz w:val="28"/>
          <w:szCs w:val="28"/>
        </w:rPr>
        <w:t>效果</w:t>
      </w:r>
      <w:r>
        <w:rPr>
          <w:rFonts w:cs="仿宋_GB2312" w:asciiTheme="minorEastAsia" w:hAnsiTheme="minorEastAsia" w:eastAsiaTheme="minorEastAsia"/>
          <w:sz w:val="28"/>
          <w:szCs w:val="28"/>
        </w:rPr>
        <w:t>；有利于开展教研活动</w:t>
      </w:r>
      <w:r>
        <w:rPr>
          <w:rFonts w:cs="仿宋_GB2312" w:asciiTheme="minorEastAsia" w:hAnsiTheme="minorEastAsia" w:eastAsiaTheme="minorEastAsia"/>
          <w:color w:val="000000" w:themeColor="text1"/>
          <w:sz w:val="28"/>
          <w:szCs w:val="28"/>
          <w14:textFill>
            <w14:solidFill>
              <w14:schemeClr w14:val="tx1"/>
            </w14:solidFill>
          </w14:textFill>
        </w:rPr>
        <w:t>；省时、省力，</w:t>
      </w:r>
      <w:r>
        <w:rPr>
          <w:rFonts w:hint="eastAsia" w:cs="仿宋_GB2312" w:asciiTheme="minorEastAsia" w:hAnsiTheme="minorEastAsia" w:eastAsiaTheme="minorEastAsia"/>
          <w:color w:val="000000" w:themeColor="text1"/>
          <w:sz w:val="28"/>
          <w:szCs w:val="28"/>
          <w14:textFill>
            <w14:solidFill>
              <w14:schemeClr w14:val="tx1"/>
            </w14:solidFill>
          </w14:textFill>
        </w:rPr>
        <w:t>有利于</w:t>
      </w:r>
      <w:r>
        <w:rPr>
          <w:rFonts w:cs="仿宋_GB2312" w:asciiTheme="minorEastAsia" w:hAnsiTheme="minorEastAsia" w:eastAsiaTheme="minorEastAsia"/>
          <w:sz w:val="28"/>
          <w:szCs w:val="28"/>
        </w:rPr>
        <w:t>提高工作效率；有利于提高教学质量；有利于增进教师间的相互了解，</w:t>
      </w:r>
      <w:r>
        <w:rPr>
          <w:rFonts w:hint="eastAsia" w:cs="仿宋_GB2312" w:asciiTheme="minorEastAsia" w:hAnsiTheme="minorEastAsia" w:eastAsiaTheme="minorEastAsia"/>
          <w:sz w:val="28"/>
          <w:szCs w:val="28"/>
        </w:rPr>
        <w:t>营造</w:t>
      </w:r>
      <w:r>
        <w:rPr>
          <w:rFonts w:cs="仿宋_GB2312" w:asciiTheme="minorEastAsia" w:hAnsiTheme="minorEastAsia" w:eastAsiaTheme="minorEastAsia"/>
          <w:sz w:val="28"/>
          <w:szCs w:val="28"/>
        </w:rPr>
        <w:t>一种交流、合作、研究的学术气氛。</w:t>
      </w:r>
    </w:p>
    <w:p>
      <w:pPr>
        <w:pStyle w:val="4"/>
        <w:numPr>
          <w:ilvl w:val="0"/>
          <w:numId w:val="31"/>
        </w:numPr>
        <w:spacing w:line="360" w:lineRule="auto"/>
        <w:ind w:firstLine="562"/>
      </w:pPr>
      <w:bookmarkStart w:id="213" w:name="_Toc28627"/>
      <w:bookmarkStart w:id="214" w:name="_Toc18100"/>
      <w:r>
        <w:rPr>
          <w:rFonts w:hint="eastAsia"/>
        </w:rPr>
        <w:t>营造外语氛围，拓宽国际视野</w:t>
      </w:r>
      <w:bookmarkEnd w:id="213"/>
      <w:bookmarkEnd w:id="214"/>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俄语专业目前有3名俄罗斯外教，她们的授课具有不可替代的语言优势和文化优势。除完成课堂教学外，还积极组织和参与第二课堂活动，把第</w:t>
      </w:r>
      <w:r>
        <w:rPr>
          <w:rFonts w:hint="eastAsia" w:cs="仿宋_GB2312" w:asciiTheme="minorEastAsia" w:hAnsiTheme="minorEastAsia" w:eastAsiaTheme="minorEastAsia"/>
          <w:color w:val="000000" w:themeColor="text1"/>
          <w:sz w:val="28"/>
          <w:szCs w:val="28"/>
          <w14:textFill>
            <w14:solidFill>
              <w14:schemeClr w14:val="tx1"/>
            </w14:solidFill>
          </w14:textFill>
        </w:rPr>
        <w:t>二课堂活动作为训练学生外</w:t>
      </w:r>
      <w:r>
        <w:rPr>
          <w:rFonts w:hint="eastAsia" w:cs="仿宋_GB2312" w:asciiTheme="minorEastAsia" w:hAnsiTheme="minorEastAsia" w:eastAsiaTheme="minorEastAsia"/>
          <w:sz w:val="28"/>
          <w:szCs w:val="28"/>
        </w:rPr>
        <w:t>语应用能力的重要途径和形式</w:t>
      </w:r>
      <w:r>
        <w:rPr>
          <w:rFonts w:hint="eastAsia" w:cs="仿宋_GB2312" w:asciiTheme="minorEastAsia" w:hAnsiTheme="minorEastAsia" w:eastAsiaTheme="minorEastAsia"/>
          <w:color w:val="FF0000"/>
          <w:sz w:val="28"/>
          <w:szCs w:val="28"/>
        </w:rPr>
        <w:t>，</w:t>
      </w:r>
      <w:r>
        <w:rPr>
          <w:rFonts w:hint="eastAsia" w:cs="仿宋_GB2312" w:asciiTheme="minorEastAsia" w:hAnsiTheme="minorEastAsia" w:eastAsiaTheme="minorEastAsia"/>
          <w:sz w:val="28"/>
          <w:szCs w:val="28"/>
        </w:rPr>
        <w:t>例如</w:t>
      </w:r>
      <w:r>
        <w:rPr>
          <w:rFonts w:hint="eastAsia" w:ascii="仿宋_GB2312" w:hAnsi="仿宋" w:eastAsia="仿宋_GB2312"/>
          <w:sz w:val="28"/>
          <w:szCs w:val="28"/>
        </w:rPr>
        <w:t>：</w:t>
      </w:r>
      <w:r>
        <w:rPr>
          <w:rFonts w:ascii="Times New Roman" w:hAnsi="Times New Roman" w:eastAsia="仿宋_GB2312"/>
          <w:sz w:val="28"/>
          <w:szCs w:val="28"/>
          <w:lang w:val="ru-RU"/>
        </w:rPr>
        <w:t>Ольга</w:t>
      </w:r>
      <w:r>
        <w:rPr>
          <w:rFonts w:hint="eastAsia" w:cs="仿宋_GB2312" w:asciiTheme="minorEastAsia" w:hAnsiTheme="minorEastAsia" w:eastAsiaTheme="minorEastAsia"/>
          <w:sz w:val="28"/>
          <w:szCs w:val="28"/>
        </w:rPr>
        <w:t>博士每学期组织</w:t>
      </w:r>
      <w:r>
        <w:rPr>
          <w:rFonts w:cs="仿宋_GB2312" w:asciiTheme="minorEastAsia" w:hAnsiTheme="minorEastAsia" w:eastAsiaTheme="minorEastAsia"/>
          <w:sz w:val="28"/>
          <w:szCs w:val="28"/>
        </w:rPr>
        <w:t>和参与</w:t>
      </w:r>
      <w:r>
        <w:rPr>
          <w:rFonts w:hint="eastAsia" w:cs="仿宋_GB2312" w:asciiTheme="minorEastAsia" w:hAnsiTheme="minorEastAsia" w:eastAsiaTheme="minorEastAsia"/>
          <w:sz w:val="28"/>
          <w:szCs w:val="28"/>
        </w:rPr>
        <w:t>学生俄语社团活动，同时还对参加俄语竞赛活动的学生给予舞蹈编排和台词等方面的指导。实践证明，外教授课和外教主导的第二课堂活动对更好地提高学生俄语的综合能力尤其是听说技能，了解东西方文化的差异，促进跨文化交流，拓宽国际视野，有着独特的作用。</w:t>
      </w:r>
    </w:p>
    <w:p>
      <w:pPr>
        <w:pStyle w:val="4"/>
        <w:numPr>
          <w:ilvl w:val="0"/>
          <w:numId w:val="32"/>
        </w:numPr>
        <w:spacing w:line="360" w:lineRule="auto"/>
        <w:ind w:firstLine="562"/>
      </w:pPr>
      <w:bookmarkStart w:id="215" w:name="_Toc23530"/>
      <w:bookmarkStart w:id="216" w:name="_Toc1588"/>
      <w:r>
        <w:rPr>
          <w:rFonts w:hint="eastAsia"/>
        </w:rPr>
        <w:t>传统、创新</w:t>
      </w:r>
      <w:r>
        <w:t>兼容并济</w:t>
      </w:r>
      <w:r>
        <w:rPr>
          <w:rFonts w:hint="eastAsia"/>
        </w:rPr>
        <w:t>，</w:t>
      </w:r>
      <w:r>
        <w:t>线上</w:t>
      </w:r>
      <w:r>
        <w:rPr>
          <w:rFonts w:hint="eastAsia"/>
        </w:rPr>
        <w:t>、</w:t>
      </w:r>
      <w:r>
        <w:t>线下</w:t>
      </w:r>
      <w:r>
        <w:rPr>
          <w:rFonts w:hint="eastAsia"/>
        </w:rPr>
        <w:t>相辅相成</w:t>
      </w:r>
      <w:bookmarkEnd w:id="215"/>
      <w:bookmarkEnd w:id="216"/>
    </w:p>
    <w:p>
      <w:pPr>
        <w:adjustRightInd w:val="0"/>
        <w:snapToGrid w:val="0"/>
        <w:spacing w:beforeAutospacing="0" w:afterAutospacing="0" w:line="360" w:lineRule="auto"/>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本专业教师始终秉承传统与创新兼容并济的原则</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除了沿用传统教学中的精讲多练以外</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还在课余时间利用智慧树</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微信</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钉钉</w:t>
      </w:r>
      <w:r>
        <w:rPr>
          <w:rFonts w:hint="eastAsia" w:cs="仿宋_GB2312" w:asciiTheme="minorEastAsia" w:hAnsiTheme="minorEastAsia" w:eastAsiaTheme="minorEastAsia"/>
          <w:sz w:val="28"/>
          <w:szCs w:val="28"/>
        </w:rPr>
        <w:t>、云</w:t>
      </w:r>
      <w:r>
        <w:rPr>
          <w:rFonts w:cs="仿宋_GB2312" w:asciiTheme="minorEastAsia" w:hAnsiTheme="minorEastAsia" w:eastAsiaTheme="minorEastAsia"/>
          <w:sz w:val="28"/>
          <w:szCs w:val="28"/>
        </w:rPr>
        <w:t>课堂</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知识圈等多种手段在线上</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线下辅导学生</w:t>
      </w:r>
      <w:r>
        <w:rPr>
          <w:rFonts w:hint="eastAsia" w:cs="仿宋_GB2312" w:asciiTheme="minorEastAsia" w:hAnsiTheme="minorEastAsia" w:eastAsiaTheme="minorEastAsia"/>
          <w:sz w:val="28"/>
          <w:szCs w:val="28"/>
        </w:rPr>
        <w:t>。从纠正语音、语调，到检查单词、语法，从组织学生观看俄罗斯国情知识小故事，到设计各类线上俄语小游戏，投票、抢答、头</w:t>
      </w:r>
      <w:r>
        <w:rPr>
          <w:rFonts w:hint="eastAsia" w:cs="仿宋_GB2312" w:asciiTheme="minorEastAsia" w:hAnsiTheme="minorEastAsia" w:eastAsiaTheme="minorEastAsia"/>
          <w:color w:val="000000" w:themeColor="text1"/>
          <w:sz w:val="28"/>
          <w:szCs w:val="28"/>
          <w14:textFill>
            <w14:solidFill>
              <w14:schemeClr w14:val="tx1"/>
            </w14:solidFill>
          </w14:textFill>
        </w:rPr>
        <w:t>脑风暴等教学环节，学生们</w:t>
      </w:r>
      <w:r>
        <w:rPr>
          <w:rFonts w:hint="eastAsia" w:cs="仿宋_GB2312" w:asciiTheme="minorEastAsia" w:hAnsiTheme="minorEastAsia" w:eastAsiaTheme="minorEastAsia"/>
          <w:sz w:val="28"/>
          <w:szCs w:val="28"/>
        </w:rPr>
        <w:t>都乐此不疲。线上教学既能解决学生由于时间的限制来不及在课堂上提出的问题，为学生更好地答疑、解惑，又能提高学生的学习兴趣和积极性，传统教学与创新思维相互补充，相辅相成，教学效果良好，年轻的教学团队给俄语专业带来勃勃生机。</w:t>
      </w:r>
    </w:p>
    <w:p>
      <w:pPr>
        <w:pStyle w:val="4"/>
        <w:numPr>
          <w:ilvl w:val="0"/>
          <w:numId w:val="32"/>
        </w:numPr>
        <w:spacing w:line="360" w:lineRule="auto"/>
        <w:ind w:left="0" w:leftChars="0" w:firstLine="562" w:firstLineChars="200"/>
      </w:pPr>
      <w:bookmarkStart w:id="217" w:name="_Toc24232"/>
      <w:bookmarkStart w:id="218" w:name="_Toc12790"/>
      <w:r>
        <w:rPr>
          <w:rFonts w:hint="eastAsia"/>
        </w:rPr>
        <w:t>加强网络教学平台维护与建设，提高网络化教学水平</w:t>
      </w:r>
      <w:bookmarkEnd w:id="217"/>
      <w:bookmarkEnd w:id="218"/>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积极鼓励教师参加国内外关于慕课、微课等网络化教学手段的学习，努力加强网络教学平台维护与建设，设立专职人员对网络平台进行维护和管理，为教师和学生在操作使用平台过程中更好的提供软件和技术服</w:t>
      </w:r>
      <w:r>
        <w:rPr>
          <w:rFonts w:hint="eastAsia" w:asciiTheme="minorEastAsia" w:hAnsiTheme="minorEastAsia" w:eastAsiaTheme="minorEastAsia"/>
          <w:color w:val="000000" w:themeColor="text1"/>
          <w:sz w:val="28"/>
          <w:szCs w:val="28"/>
          <w14:textFill>
            <w14:solidFill>
              <w14:schemeClr w14:val="tx1"/>
            </w14:solidFill>
          </w14:textFill>
        </w:rPr>
        <w:t>务。同时，注重平台一体化建设，尽可能多创造机会让使用同一平台教学的教师多多交流经验，进行资源共享，实现资源配置效益的最大化，促进教师自身教学和科研能力</w:t>
      </w:r>
      <w:r>
        <w:rPr>
          <w:rFonts w:hint="eastAsia" w:asciiTheme="minorEastAsia" w:hAnsiTheme="minorEastAsia" w:eastAsiaTheme="minorEastAsia"/>
          <w:sz w:val="28"/>
          <w:szCs w:val="28"/>
        </w:rPr>
        <w:t>的提高以及综合素养的提高，进一步推广网络教学，提高网络教学水平。</w:t>
      </w:r>
    </w:p>
    <w:p>
      <w:pPr>
        <w:adjustRightInd w:val="0"/>
        <w:snapToGrid w:val="0"/>
        <w:spacing w:beforeLines="5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以上是俄语专业的自评报告，俄语专业将以此次评估为契机，进一步推动、加强教学团队建设，不断深化教学改革，提高教学质量，培养具备较强应用能力的俄语人才，为国家、地方以及整个社会发展做出应有的贡献。</w:t>
      </w:r>
    </w:p>
    <w:p>
      <w:pPr>
        <w:adjustRightInd w:val="0"/>
        <w:snapToGrid w:val="0"/>
        <w:spacing w:beforeLines="50" w:line="360" w:lineRule="auto"/>
        <w:ind w:firstLine="560" w:firstLineChars="200"/>
        <w:rPr>
          <w:rFonts w:asciiTheme="minorEastAsia" w:hAnsiTheme="minorEastAsia" w:eastAsiaTheme="minorEastAsia"/>
          <w:sz w:val="28"/>
          <w:szCs w:val="28"/>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Style w:val="16"/>
                              <w:color w:val="FFFFFF" w:themeColor="background1"/>
                              <w14:textFill>
                                <w14:solidFill>
                                  <w14:schemeClr w14:val="bg1"/>
                                </w14:solidFill>
                              </w14:textFill>
                            </w:rPr>
                          </w:pPr>
                          <w:r>
                            <w:rPr>
                              <w:rFonts w:hint="eastAsia"/>
                              <w:color w:val="FFFFFF" w:themeColor="background1"/>
                              <w14:textFill>
                                <w14:solidFill>
                                  <w14:schemeClr w14:val="bg1"/>
                                </w14:solidFill>
                              </w14:textFill>
                            </w:rPr>
                            <w:t>-</w:t>
                          </w:r>
                          <w:r>
                            <w:rPr>
                              <w:color w:val="FFFFFF" w:themeColor="background1"/>
                              <w14:textFill>
                                <w14:solidFill>
                                  <w14:schemeClr w14:val="bg1"/>
                                </w14:solidFill>
                              </w14:textFill>
                            </w:rPr>
                            <w:fldChar w:fldCharType="begin"/>
                          </w:r>
                          <w:r>
                            <w:rPr>
                              <w:rStyle w:val="16"/>
                              <w:color w:val="FFFFFF" w:themeColor="background1"/>
                              <w14:textFill>
                                <w14:solidFill>
                                  <w14:schemeClr w14:val="bg1"/>
                                </w14:solidFill>
                              </w14:textFill>
                            </w:rPr>
                            <w:instrText xml:space="preserve">PAGE  </w:instrText>
                          </w:r>
                          <w:r>
                            <w:rPr>
                              <w:color w:val="FFFFFF" w:themeColor="background1"/>
                              <w14:textFill>
                                <w14:solidFill>
                                  <w14:schemeClr w14:val="bg1"/>
                                </w14:solidFill>
                              </w14:textFill>
                            </w:rPr>
                            <w:fldChar w:fldCharType="separate"/>
                          </w:r>
                          <w:r>
                            <w:rPr>
                              <w:rStyle w:val="16"/>
                              <w:color w:val="FFFFFF" w:themeColor="background1"/>
                              <w14:textFill>
                                <w14:solidFill>
                                  <w14:schemeClr w14:val="bg1"/>
                                </w14:solidFill>
                              </w14:textFill>
                            </w:rPr>
                            <w:t>2</w:t>
                          </w:r>
                          <w:r>
                            <w:rPr>
                              <w:color w:val="FFFFFF" w:themeColor="background1"/>
                              <w14:textFill>
                                <w14:solidFill>
                                  <w14:schemeClr w14:val="bg1"/>
                                </w14:solidFill>
                              </w14:textFill>
                            </w:rPr>
                            <w:fldChar w:fldCharType="end"/>
                          </w:r>
                          <w:r>
                            <w:rPr>
                              <w:rFonts w:hint="eastAsia"/>
                              <w:color w:val="FFFFFF" w:themeColor="background1"/>
                              <w14:textFill>
                                <w14:solidFill>
                                  <w14:schemeClr w14:val="bg1"/>
                                </w14:solidFill>
                              </w14:textFill>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8"/>
                      <w:rPr>
                        <w:rStyle w:val="16"/>
                        <w:color w:val="FFFFFF" w:themeColor="background1"/>
                        <w14:textFill>
                          <w14:solidFill>
                            <w14:schemeClr w14:val="bg1"/>
                          </w14:solidFill>
                        </w14:textFill>
                      </w:rPr>
                    </w:pPr>
                    <w:r>
                      <w:rPr>
                        <w:rFonts w:hint="eastAsia"/>
                        <w:color w:val="FFFFFF" w:themeColor="background1"/>
                        <w14:textFill>
                          <w14:solidFill>
                            <w14:schemeClr w14:val="bg1"/>
                          </w14:solidFill>
                        </w14:textFill>
                      </w:rPr>
                      <w:t>-</w:t>
                    </w:r>
                    <w:r>
                      <w:rPr>
                        <w:color w:val="FFFFFF" w:themeColor="background1"/>
                        <w14:textFill>
                          <w14:solidFill>
                            <w14:schemeClr w14:val="bg1"/>
                          </w14:solidFill>
                        </w14:textFill>
                      </w:rPr>
                      <w:fldChar w:fldCharType="begin"/>
                    </w:r>
                    <w:r>
                      <w:rPr>
                        <w:rStyle w:val="16"/>
                        <w:color w:val="FFFFFF" w:themeColor="background1"/>
                        <w14:textFill>
                          <w14:solidFill>
                            <w14:schemeClr w14:val="bg1"/>
                          </w14:solidFill>
                        </w14:textFill>
                      </w:rPr>
                      <w:instrText xml:space="preserve">PAGE  </w:instrText>
                    </w:r>
                    <w:r>
                      <w:rPr>
                        <w:color w:val="FFFFFF" w:themeColor="background1"/>
                        <w14:textFill>
                          <w14:solidFill>
                            <w14:schemeClr w14:val="bg1"/>
                          </w14:solidFill>
                        </w14:textFill>
                      </w:rPr>
                      <w:fldChar w:fldCharType="separate"/>
                    </w:r>
                    <w:r>
                      <w:rPr>
                        <w:rStyle w:val="16"/>
                        <w:color w:val="FFFFFF" w:themeColor="background1"/>
                        <w14:textFill>
                          <w14:solidFill>
                            <w14:schemeClr w14:val="bg1"/>
                          </w14:solidFill>
                        </w14:textFill>
                      </w:rPr>
                      <w:t>2</w:t>
                    </w:r>
                    <w:r>
                      <w:rPr>
                        <w:color w:val="FFFFFF" w:themeColor="background1"/>
                        <w14:textFill>
                          <w14:solidFill>
                            <w14:schemeClr w14:val="bg1"/>
                          </w14:solidFill>
                        </w14:textFill>
                      </w:rPr>
                      <w:fldChar w:fldCharType="end"/>
                    </w:r>
                    <w:r>
                      <w:rPr>
                        <w:rFonts w:hint="eastAsia"/>
                        <w:color w:val="FFFFFF" w:themeColor="background1"/>
                        <w14:textFill>
                          <w14:solidFill>
                            <w14:schemeClr w14:val="bg1"/>
                          </w14:solidFill>
                        </w14:textFill>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Style w:val="16"/>
                            </w:rPr>
                          </w:pPr>
                          <w:r>
                            <w:rPr>
                              <w:rFonts w:hint="eastAsia"/>
                            </w:rPr>
                            <w:t>-</w:t>
                          </w:r>
                          <w:r>
                            <w:fldChar w:fldCharType="begin"/>
                          </w:r>
                          <w:r>
                            <w:rPr>
                              <w:rStyle w:val="16"/>
                            </w:rPr>
                            <w:instrText xml:space="preserve">PAGE  </w:instrText>
                          </w:r>
                          <w:r>
                            <w:fldChar w:fldCharType="separate"/>
                          </w:r>
                          <w:r>
                            <w:rPr>
                              <w:rStyle w:val="16"/>
                            </w:rPr>
                            <w:t>27</w:t>
                          </w:r>
                          <w:r>
                            <w:fldChar w:fldCharType="end"/>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8"/>
                      <w:rPr>
                        <w:rStyle w:val="16"/>
                      </w:rPr>
                    </w:pPr>
                    <w:r>
                      <w:rPr>
                        <w:rFonts w:hint="eastAsia"/>
                      </w:rPr>
                      <w:t>-</w:t>
                    </w:r>
                    <w:r>
                      <w:fldChar w:fldCharType="begin"/>
                    </w:r>
                    <w:r>
                      <w:rPr>
                        <w:rStyle w:val="16"/>
                      </w:rPr>
                      <w:instrText xml:space="preserve">PAGE  </w:instrText>
                    </w:r>
                    <w:r>
                      <w:fldChar w:fldCharType="separate"/>
                    </w:r>
                    <w:r>
                      <w:rPr>
                        <w:rStyle w:val="16"/>
                      </w:rPr>
                      <w:t>27</w:t>
                    </w:r>
                    <w:r>
                      <w:fldChar w:fldCharType="end"/>
                    </w:r>
                    <w:r>
                      <w:rPr>
                        <w:rFonts w:hint="eastAsia"/>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08629E"/>
    <w:multiLevelType w:val="singleLevel"/>
    <w:tmpl w:val="8008629E"/>
    <w:lvl w:ilvl="0" w:tentative="0">
      <w:start w:val="1"/>
      <w:numFmt w:val="decimal"/>
      <w:suff w:val="space"/>
      <w:lvlText w:val="%1."/>
      <w:lvlJc w:val="left"/>
    </w:lvl>
  </w:abstractNum>
  <w:abstractNum w:abstractNumId="1">
    <w:nsid w:val="83B04EA2"/>
    <w:multiLevelType w:val="singleLevel"/>
    <w:tmpl w:val="83B04EA2"/>
    <w:lvl w:ilvl="0" w:tentative="0">
      <w:start w:val="2"/>
      <w:numFmt w:val="decimal"/>
      <w:suff w:val="space"/>
      <w:lvlText w:val="%1."/>
      <w:lvlJc w:val="left"/>
    </w:lvl>
  </w:abstractNum>
  <w:abstractNum w:abstractNumId="2">
    <w:nsid w:val="977A470F"/>
    <w:multiLevelType w:val="singleLevel"/>
    <w:tmpl w:val="977A470F"/>
    <w:lvl w:ilvl="0" w:tentative="0">
      <w:start w:val="4"/>
      <w:numFmt w:val="decimal"/>
      <w:suff w:val="space"/>
      <w:lvlText w:val="%1."/>
      <w:lvlJc w:val="left"/>
    </w:lvl>
  </w:abstractNum>
  <w:abstractNum w:abstractNumId="3">
    <w:nsid w:val="9B301181"/>
    <w:multiLevelType w:val="singleLevel"/>
    <w:tmpl w:val="9B301181"/>
    <w:lvl w:ilvl="0" w:tentative="0">
      <w:start w:val="4"/>
      <w:numFmt w:val="decimal"/>
      <w:suff w:val="space"/>
      <w:lvlText w:val="%1."/>
      <w:lvlJc w:val="left"/>
    </w:lvl>
  </w:abstractNum>
  <w:abstractNum w:abstractNumId="4">
    <w:nsid w:val="A7091770"/>
    <w:multiLevelType w:val="singleLevel"/>
    <w:tmpl w:val="A7091770"/>
    <w:lvl w:ilvl="0" w:tentative="0">
      <w:start w:val="2"/>
      <w:numFmt w:val="decimal"/>
      <w:suff w:val="space"/>
      <w:lvlText w:val="%1."/>
      <w:lvlJc w:val="left"/>
    </w:lvl>
  </w:abstractNum>
  <w:abstractNum w:abstractNumId="5">
    <w:nsid w:val="B4110E1F"/>
    <w:multiLevelType w:val="singleLevel"/>
    <w:tmpl w:val="B4110E1F"/>
    <w:lvl w:ilvl="0" w:tentative="0">
      <w:start w:val="1"/>
      <w:numFmt w:val="decimal"/>
      <w:suff w:val="space"/>
      <w:lvlText w:val="%1."/>
      <w:lvlJc w:val="left"/>
    </w:lvl>
  </w:abstractNum>
  <w:abstractNum w:abstractNumId="6">
    <w:nsid w:val="C0187B97"/>
    <w:multiLevelType w:val="singleLevel"/>
    <w:tmpl w:val="C0187B97"/>
    <w:lvl w:ilvl="0" w:tentative="0">
      <w:start w:val="1"/>
      <w:numFmt w:val="decimal"/>
      <w:suff w:val="space"/>
      <w:lvlText w:val="%1."/>
      <w:lvlJc w:val="left"/>
    </w:lvl>
  </w:abstractNum>
  <w:abstractNum w:abstractNumId="7">
    <w:nsid w:val="C23FFE1C"/>
    <w:multiLevelType w:val="singleLevel"/>
    <w:tmpl w:val="C23FFE1C"/>
    <w:lvl w:ilvl="0" w:tentative="0">
      <w:start w:val="2"/>
      <w:numFmt w:val="decimal"/>
      <w:suff w:val="space"/>
      <w:lvlText w:val="%1."/>
      <w:lvlJc w:val="left"/>
    </w:lvl>
  </w:abstractNum>
  <w:abstractNum w:abstractNumId="8">
    <w:nsid w:val="C36C8376"/>
    <w:multiLevelType w:val="singleLevel"/>
    <w:tmpl w:val="C36C8376"/>
    <w:lvl w:ilvl="0" w:tentative="0">
      <w:start w:val="4"/>
      <w:numFmt w:val="decimal"/>
      <w:suff w:val="space"/>
      <w:lvlText w:val="%1."/>
      <w:lvlJc w:val="left"/>
    </w:lvl>
  </w:abstractNum>
  <w:abstractNum w:abstractNumId="9">
    <w:nsid w:val="C520A2CF"/>
    <w:multiLevelType w:val="singleLevel"/>
    <w:tmpl w:val="C520A2CF"/>
    <w:lvl w:ilvl="0" w:tentative="0">
      <w:start w:val="3"/>
      <w:numFmt w:val="decimal"/>
      <w:suff w:val="space"/>
      <w:lvlText w:val="%1."/>
      <w:lvlJc w:val="left"/>
    </w:lvl>
  </w:abstractNum>
  <w:abstractNum w:abstractNumId="10">
    <w:nsid w:val="CA785512"/>
    <w:multiLevelType w:val="singleLevel"/>
    <w:tmpl w:val="CA785512"/>
    <w:lvl w:ilvl="0" w:tentative="0">
      <w:start w:val="3"/>
      <w:numFmt w:val="decimal"/>
      <w:suff w:val="space"/>
      <w:lvlText w:val="%1."/>
      <w:lvlJc w:val="left"/>
    </w:lvl>
  </w:abstractNum>
  <w:abstractNum w:abstractNumId="11">
    <w:nsid w:val="CCE409BD"/>
    <w:multiLevelType w:val="singleLevel"/>
    <w:tmpl w:val="CCE409BD"/>
    <w:lvl w:ilvl="0" w:tentative="0">
      <w:start w:val="3"/>
      <w:numFmt w:val="decimal"/>
      <w:suff w:val="space"/>
      <w:lvlText w:val="%1."/>
      <w:lvlJc w:val="left"/>
    </w:lvl>
  </w:abstractNum>
  <w:abstractNum w:abstractNumId="12">
    <w:nsid w:val="D859FCC0"/>
    <w:multiLevelType w:val="singleLevel"/>
    <w:tmpl w:val="D859FCC0"/>
    <w:lvl w:ilvl="0" w:tentative="0">
      <w:start w:val="2"/>
      <w:numFmt w:val="decimal"/>
      <w:suff w:val="space"/>
      <w:lvlText w:val="%1."/>
      <w:lvlJc w:val="left"/>
    </w:lvl>
  </w:abstractNum>
  <w:abstractNum w:abstractNumId="13">
    <w:nsid w:val="DB383B21"/>
    <w:multiLevelType w:val="singleLevel"/>
    <w:tmpl w:val="DB383B21"/>
    <w:lvl w:ilvl="0" w:tentative="0">
      <w:start w:val="4"/>
      <w:numFmt w:val="decimal"/>
      <w:suff w:val="space"/>
      <w:lvlText w:val="%1."/>
      <w:lvlJc w:val="left"/>
    </w:lvl>
  </w:abstractNum>
  <w:abstractNum w:abstractNumId="14">
    <w:nsid w:val="EC5B411A"/>
    <w:multiLevelType w:val="singleLevel"/>
    <w:tmpl w:val="EC5B411A"/>
    <w:lvl w:ilvl="0" w:tentative="0">
      <w:start w:val="5"/>
      <w:numFmt w:val="decimal"/>
      <w:suff w:val="space"/>
      <w:lvlText w:val="%1."/>
      <w:lvlJc w:val="left"/>
    </w:lvl>
  </w:abstractNum>
  <w:abstractNum w:abstractNumId="15">
    <w:nsid w:val="F5E9E01C"/>
    <w:multiLevelType w:val="singleLevel"/>
    <w:tmpl w:val="F5E9E01C"/>
    <w:lvl w:ilvl="0" w:tentative="0">
      <w:start w:val="2"/>
      <w:numFmt w:val="decimal"/>
      <w:suff w:val="space"/>
      <w:lvlText w:val="%1."/>
      <w:lvlJc w:val="left"/>
    </w:lvl>
  </w:abstractNum>
  <w:abstractNum w:abstractNumId="16">
    <w:nsid w:val="130431D2"/>
    <w:multiLevelType w:val="singleLevel"/>
    <w:tmpl w:val="130431D2"/>
    <w:lvl w:ilvl="0" w:tentative="0">
      <w:start w:val="6"/>
      <w:numFmt w:val="decimal"/>
      <w:suff w:val="space"/>
      <w:lvlText w:val="%1."/>
      <w:lvlJc w:val="left"/>
    </w:lvl>
  </w:abstractNum>
  <w:abstractNum w:abstractNumId="17">
    <w:nsid w:val="15DB839B"/>
    <w:multiLevelType w:val="singleLevel"/>
    <w:tmpl w:val="15DB839B"/>
    <w:lvl w:ilvl="0" w:tentative="0">
      <w:start w:val="3"/>
      <w:numFmt w:val="decimal"/>
      <w:suff w:val="space"/>
      <w:lvlText w:val="%1."/>
      <w:lvlJc w:val="left"/>
    </w:lvl>
  </w:abstractNum>
  <w:abstractNum w:abstractNumId="18">
    <w:nsid w:val="2AA7D0E3"/>
    <w:multiLevelType w:val="singleLevel"/>
    <w:tmpl w:val="2AA7D0E3"/>
    <w:lvl w:ilvl="0" w:tentative="0">
      <w:start w:val="1"/>
      <w:numFmt w:val="decimal"/>
      <w:suff w:val="space"/>
      <w:lvlText w:val="%1."/>
      <w:lvlJc w:val="left"/>
    </w:lvl>
  </w:abstractNum>
  <w:abstractNum w:abstractNumId="19">
    <w:nsid w:val="2D5487EE"/>
    <w:multiLevelType w:val="singleLevel"/>
    <w:tmpl w:val="2D5487EE"/>
    <w:lvl w:ilvl="0" w:tentative="0">
      <w:start w:val="2"/>
      <w:numFmt w:val="decimal"/>
      <w:suff w:val="space"/>
      <w:lvlText w:val="%1."/>
      <w:lvlJc w:val="left"/>
    </w:lvl>
  </w:abstractNum>
  <w:abstractNum w:abstractNumId="20">
    <w:nsid w:val="310D5AC5"/>
    <w:multiLevelType w:val="singleLevel"/>
    <w:tmpl w:val="310D5AC5"/>
    <w:lvl w:ilvl="0" w:tentative="0">
      <w:start w:val="3"/>
      <w:numFmt w:val="decimal"/>
      <w:suff w:val="space"/>
      <w:lvlText w:val="%1."/>
      <w:lvlJc w:val="left"/>
    </w:lvl>
  </w:abstractNum>
  <w:abstractNum w:abstractNumId="21">
    <w:nsid w:val="328FCEC1"/>
    <w:multiLevelType w:val="singleLevel"/>
    <w:tmpl w:val="328FCEC1"/>
    <w:lvl w:ilvl="0" w:tentative="0">
      <w:start w:val="3"/>
      <w:numFmt w:val="decimal"/>
      <w:suff w:val="space"/>
      <w:lvlText w:val="%1."/>
      <w:lvlJc w:val="left"/>
    </w:lvl>
  </w:abstractNum>
  <w:abstractNum w:abstractNumId="22">
    <w:nsid w:val="399E30DF"/>
    <w:multiLevelType w:val="singleLevel"/>
    <w:tmpl w:val="399E30DF"/>
    <w:lvl w:ilvl="0" w:tentative="0">
      <w:start w:val="2"/>
      <w:numFmt w:val="chineseCounting"/>
      <w:suff w:val="nothing"/>
      <w:lvlText w:val="（%1）"/>
      <w:lvlJc w:val="left"/>
      <w:rPr>
        <w:rFonts w:hint="eastAsia"/>
      </w:rPr>
    </w:lvl>
  </w:abstractNum>
  <w:abstractNum w:abstractNumId="23">
    <w:nsid w:val="3B5B41C4"/>
    <w:multiLevelType w:val="singleLevel"/>
    <w:tmpl w:val="3B5B41C4"/>
    <w:lvl w:ilvl="0" w:tentative="0">
      <w:start w:val="1"/>
      <w:numFmt w:val="decimal"/>
      <w:suff w:val="space"/>
      <w:lvlText w:val="%1."/>
      <w:lvlJc w:val="left"/>
    </w:lvl>
  </w:abstractNum>
  <w:abstractNum w:abstractNumId="24">
    <w:nsid w:val="427C1A17"/>
    <w:multiLevelType w:val="singleLevel"/>
    <w:tmpl w:val="427C1A17"/>
    <w:lvl w:ilvl="0" w:tentative="0">
      <w:start w:val="1"/>
      <w:numFmt w:val="decimal"/>
      <w:suff w:val="space"/>
      <w:lvlText w:val="%1."/>
      <w:lvlJc w:val="left"/>
    </w:lvl>
  </w:abstractNum>
  <w:abstractNum w:abstractNumId="25">
    <w:nsid w:val="467F9DF3"/>
    <w:multiLevelType w:val="singleLevel"/>
    <w:tmpl w:val="467F9DF3"/>
    <w:lvl w:ilvl="0" w:tentative="0">
      <w:start w:val="2"/>
      <w:numFmt w:val="decimal"/>
      <w:suff w:val="space"/>
      <w:lvlText w:val="%1."/>
      <w:lvlJc w:val="left"/>
    </w:lvl>
  </w:abstractNum>
  <w:abstractNum w:abstractNumId="26">
    <w:nsid w:val="5C1A7659"/>
    <w:multiLevelType w:val="singleLevel"/>
    <w:tmpl w:val="5C1A7659"/>
    <w:lvl w:ilvl="0" w:tentative="0">
      <w:start w:val="5"/>
      <w:numFmt w:val="decimal"/>
      <w:suff w:val="space"/>
      <w:lvlText w:val="%1."/>
      <w:lvlJc w:val="left"/>
    </w:lvl>
  </w:abstractNum>
  <w:abstractNum w:abstractNumId="27">
    <w:nsid w:val="5F177F06"/>
    <w:multiLevelType w:val="singleLevel"/>
    <w:tmpl w:val="5F177F06"/>
    <w:lvl w:ilvl="0" w:tentative="0">
      <w:start w:val="2"/>
      <w:numFmt w:val="decimal"/>
      <w:suff w:val="space"/>
      <w:lvlText w:val="%1."/>
      <w:lvlJc w:val="left"/>
    </w:lvl>
  </w:abstractNum>
  <w:abstractNum w:abstractNumId="28">
    <w:nsid w:val="66F27F88"/>
    <w:multiLevelType w:val="singleLevel"/>
    <w:tmpl w:val="66F27F88"/>
    <w:lvl w:ilvl="0" w:tentative="0">
      <w:start w:val="4"/>
      <w:numFmt w:val="decimal"/>
      <w:suff w:val="space"/>
      <w:lvlText w:val="%1."/>
      <w:lvlJc w:val="left"/>
    </w:lvl>
  </w:abstractNum>
  <w:abstractNum w:abstractNumId="29">
    <w:nsid w:val="687BBF11"/>
    <w:multiLevelType w:val="singleLevel"/>
    <w:tmpl w:val="687BBF11"/>
    <w:lvl w:ilvl="0" w:tentative="0">
      <w:start w:val="1"/>
      <w:numFmt w:val="decimal"/>
      <w:suff w:val="space"/>
      <w:lvlText w:val="%1."/>
      <w:lvlJc w:val="left"/>
    </w:lvl>
  </w:abstractNum>
  <w:abstractNum w:abstractNumId="30">
    <w:nsid w:val="754680F7"/>
    <w:multiLevelType w:val="singleLevel"/>
    <w:tmpl w:val="754680F7"/>
    <w:lvl w:ilvl="0" w:tentative="0">
      <w:start w:val="2"/>
      <w:numFmt w:val="decimal"/>
      <w:suff w:val="space"/>
      <w:lvlText w:val="%1."/>
      <w:lvlJc w:val="left"/>
    </w:lvl>
  </w:abstractNum>
  <w:abstractNum w:abstractNumId="31">
    <w:nsid w:val="7D4BD4B1"/>
    <w:multiLevelType w:val="singleLevel"/>
    <w:tmpl w:val="7D4BD4B1"/>
    <w:lvl w:ilvl="0" w:tentative="0">
      <w:start w:val="3"/>
      <w:numFmt w:val="decimal"/>
      <w:suff w:val="space"/>
      <w:lvlText w:val="%1."/>
      <w:lvlJc w:val="left"/>
    </w:lvl>
  </w:abstractNum>
  <w:num w:numId="1">
    <w:abstractNumId w:val="23"/>
  </w:num>
  <w:num w:numId="2">
    <w:abstractNumId w:val="28"/>
  </w:num>
  <w:num w:numId="3">
    <w:abstractNumId w:val="5"/>
  </w:num>
  <w:num w:numId="4">
    <w:abstractNumId w:val="0"/>
  </w:num>
  <w:num w:numId="5">
    <w:abstractNumId w:val="19"/>
  </w:num>
  <w:num w:numId="6">
    <w:abstractNumId w:val="21"/>
  </w:num>
  <w:num w:numId="7">
    <w:abstractNumId w:val="30"/>
  </w:num>
  <w:num w:numId="8">
    <w:abstractNumId w:val="17"/>
  </w:num>
  <w:num w:numId="9">
    <w:abstractNumId w:val="1"/>
  </w:num>
  <w:num w:numId="10">
    <w:abstractNumId w:val="31"/>
  </w:num>
  <w:num w:numId="11">
    <w:abstractNumId w:val="12"/>
  </w:num>
  <w:num w:numId="12">
    <w:abstractNumId w:val="22"/>
  </w:num>
  <w:num w:numId="13">
    <w:abstractNumId w:val="6"/>
  </w:num>
  <w:num w:numId="14">
    <w:abstractNumId w:val="27"/>
  </w:num>
  <w:num w:numId="15">
    <w:abstractNumId w:val="24"/>
  </w:num>
  <w:num w:numId="16">
    <w:abstractNumId w:val="15"/>
  </w:num>
  <w:num w:numId="17">
    <w:abstractNumId w:val="11"/>
  </w:num>
  <w:num w:numId="18">
    <w:abstractNumId w:val="3"/>
  </w:num>
  <w:num w:numId="19">
    <w:abstractNumId w:val="18"/>
  </w:num>
  <w:num w:numId="20">
    <w:abstractNumId w:val="25"/>
  </w:num>
  <w:num w:numId="21">
    <w:abstractNumId w:val="10"/>
  </w:num>
  <w:num w:numId="22">
    <w:abstractNumId w:val="13"/>
  </w:num>
  <w:num w:numId="23">
    <w:abstractNumId w:val="4"/>
  </w:num>
  <w:num w:numId="24">
    <w:abstractNumId w:val="20"/>
  </w:num>
  <w:num w:numId="25">
    <w:abstractNumId w:val="8"/>
  </w:num>
  <w:num w:numId="26">
    <w:abstractNumId w:val="26"/>
  </w:num>
  <w:num w:numId="27">
    <w:abstractNumId w:val="29"/>
  </w:num>
  <w:num w:numId="28">
    <w:abstractNumId w:val="7"/>
  </w:num>
  <w:num w:numId="29">
    <w:abstractNumId w:val="9"/>
  </w:num>
  <w:num w:numId="30">
    <w:abstractNumId w:val="2"/>
  </w:num>
  <w:num w:numId="31">
    <w:abstractNumId w:val="1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97C"/>
    <w:rsid w:val="0001497C"/>
    <w:rsid w:val="000171A0"/>
    <w:rsid w:val="00031AB2"/>
    <w:rsid w:val="00034452"/>
    <w:rsid w:val="00102A6F"/>
    <w:rsid w:val="00176C4E"/>
    <w:rsid w:val="00193D9D"/>
    <w:rsid w:val="001C5C24"/>
    <w:rsid w:val="001D5FC5"/>
    <w:rsid w:val="002A6067"/>
    <w:rsid w:val="00302BE6"/>
    <w:rsid w:val="00324598"/>
    <w:rsid w:val="00326BB6"/>
    <w:rsid w:val="00353642"/>
    <w:rsid w:val="003E00FB"/>
    <w:rsid w:val="00411030"/>
    <w:rsid w:val="00483599"/>
    <w:rsid w:val="004A3FE2"/>
    <w:rsid w:val="00500A91"/>
    <w:rsid w:val="005233EB"/>
    <w:rsid w:val="0053123C"/>
    <w:rsid w:val="00562770"/>
    <w:rsid w:val="00581D52"/>
    <w:rsid w:val="00582CCB"/>
    <w:rsid w:val="005834BE"/>
    <w:rsid w:val="005845EE"/>
    <w:rsid w:val="005E6CDA"/>
    <w:rsid w:val="00663A2E"/>
    <w:rsid w:val="006B4F1B"/>
    <w:rsid w:val="006F0D2E"/>
    <w:rsid w:val="00721C03"/>
    <w:rsid w:val="00750909"/>
    <w:rsid w:val="007C4364"/>
    <w:rsid w:val="007F5840"/>
    <w:rsid w:val="008121DF"/>
    <w:rsid w:val="008361E4"/>
    <w:rsid w:val="00862608"/>
    <w:rsid w:val="008830F4"/>
    <w:rsid w:val="00911701"/>
    <w:rsid w:val="009204A7"/>
    <w:rsid w:val="009C33DA"/>
    <w:rsid w:val="009D583E"/>
    <w:rsid w:val="00A07289"/>
    <w:rsid w:val="00A90F04"/>
    <w:rsid w:val="00B33DB6"/>
    <w:rsid w:val="00B87916"/>
    <w:rsid w:val="00BA552F"/>
    <w:rsid w:val="00C22A46"/>
    <w:rsid w:val="00C7376E"/>
    <w:rsid w:val="00C854D2"/>
    <w:rsid w:val="00CA25B6"/>
    <w:rsid w:val="00CB3A04"/>
    <w:rsid w:val="00CB3F00"/>
    <w:rsid w:val="00DA4930"/>
    <w:rsid w:val="00DC0CF0"/>
    <w:rsid w:val="00E73C97"/>
    <w:rsid w:val="00ED0DB4"/>
    <w:rsid w:val="00EF0C55"/>
    <w:rsid w:val="00EF144D"/>
    <w:rsid w:val="00EF2D55"/>
    <w:rsid w:val="00EF4E3B"/>
    <w:rsid w:val="00F210C0"/>
    <w:rsid w:val="00F81D6E"/>
    <w:rsid w:val="00F853B1"/>
    <w:rsid w:val="00FB5581"/>
    <w:rsid w:val="00FF2060"/>
    <w:rsid w:val="00FF7CFD"/>
    <w:rsid w:val="013A1318"/>
    <w:rsid w:val="01A64D2B"/>
    <w:rsid w:val="01C43C93"/>
    <w:rsid w:val="02B115AA"/>
    <w:rsid w:val="02D177C9"/>
    <w:rsid w:val="02F97217"/>
    <w:rsid w:val="03631A64"/>
    <w:rsid w:val="03E800C3"/>
    <w:rsid w:val="04B919BF"/>
    <w:rsid w:val="05E16773"/>
    <w:rsid w:val="076A0979"/>
    <w:rsid w:val="08242A8C"/>
    <w:rsid w:val="08334640"/>
    <w:rsid w:val="093F1946"/>
    <w:rsid w:val="09F97BA7"/>
    <w:rsid w:val="0AF00FC3"/>
    <w:rsid w:val="0BC1199E"/>
    <w:rsid w:val="0BE31C99"/>
    <w:rsid w:val="0BE64DDA"/>
    <w:rsid w:val="0BF37EBC"/>
    <w:rsid w:val="0C362F9E"/>
    <w:rsid w:val="0D382BE3"/>
    <w:rsid w:val="0DDE7FD4"/>
    <w:rsid w:val="0F295E49"/>
    <w:rsid w:val="0F364A28"/>
    <w:rsid w:val="101A2005"/>
    <w:rsid w:val="11090400"/>
    <w:rsid w:val="11556470"/>
    <w:rsid w:val="121048D9"/>
    <w:rsid w:val="12294EB2"/>
    <w:rsid w:val="12FB1477"/>
    <w:rsid w:val="134653AA"/>
    <w:rsid w:val="13B17BAC"/>
    <w:rsid w:val="14485F9D"/>
    <w:rsid w:val="146821F4"/>
    <w:rsid w:val="15A34A24"/>
    <w:rsid w:val="1607233E"/>
    <w:rsid w:val="166E1CE4"/>
    <w:rsid w:val="16C93754"/>
    <w:rsid w:val="16F80EF9"/>
    <w:rsid w:val="177E758C"/>
    <w:rsid w:val="17C73CA0"/>
    <w:rsid w:val="17E77D8C"/>
    <w:rsid w:val="17F01AE5"/>
    <w:rsid w:val="184C235C"/>
    <w:rsid w:val="1881055C"/>
    <w:rsid w:val="18F22AD9"/>
    <w:rsid w:val="1901102C"/>
    <w:rsid w:val="19F5512E"/>
    <w:rsid w:val="1A5B64CA"/>
    <w:rsid w:val="1BBE1A30"/>
    <w:rsid w:val="1C1B6E61"/>
    <w:rsid w:val="1C282D7F"/>
    <w:rsid w:val="1C3D0514"/>
    <w:rsid w:val="1D0E7F4D"/>
    <w:rsid w:val="1D482291"/>
    <w:rsid w:val="1DB12ACB"/>
    <w:rsid w:val="1DE82162"/>
    <w:rsid w:val="1E5E2982"/>
    <w:rsid w:val="1E7F48D5"/>
    <w:rsid w:val="1F032814"/>
    <w:rsid w:val="1F8D20EC"/>
    <w:rsid w:val="204824FC"/>
    <w:rsid w:val="21321EBB"/>
    <w:rsid w:val="21D9687B"/>
    <w:rsid w:val="2408584D"/>
    <w:rsid w:val="244D35C5"/>
    <w:rsid w:val="2499583D"/>
    <w:rsid w:val="24DE1083"/>
    <w:rsid w:val="24E02373"/>
    <w:rsid w:val="24F03616"/>
    <w:rsid w:val="254E2410"/>
    <w:rsid w:val="26B256C7"/>
    <w:rsid w:val="27540CB9"/>
    <w:rsid w:val="27832754"/>
    <w:rsid w:val="27BF096D"/>
    <w:rsid w:val="27EB6308"/>
    <w:rsid w:val="282010B7"/>
    <w:rsid w:val="282634B7"/>
    <w:rsid w:val="283C4565"/>
    <w:rsid w:val="284C1948"/>
    <w:rsid w:val="28A622A2"/>
    <w:rsid w:val="29A54AEF"/>
    <w:rsid w:val="2A0B052F"/>
    <w:rsid w:val="2B402664"/>
    <w:rsid w:val="2C213B2E"/>
    <w:rsid w:val="2C4163C6"/>
    <w:rsid w:val="2D18558E"/>
    <w:rsid w:val="2D40021F"/>
    <w:rsid w:val="2F9A76BC"/>
    <w:rsid w:val="300F2BDF"/>
    <w:rsid w:val="30A31B15"/>
    <w:rsid w:val="31C54381"/>
    <w:rsid w:val="32036372"/>
    <w:rsid w:val="322E74CD"/>
    <w:rsid w:val="33151C8B"/>
    <w:rsid w:val="333A3BE5"/>
    <w:rsid w:val="344A3493"/>
    <w:rsid w:val="34930035"/>
    <w:rsid w:val="354D72DC"/>
    <w:rsid w:val="3552288A"/>
    <w:rsid w:val="35754FF1"/>
    <w:rsid w:val="37E440CA"/>
    <w:rsid w:val="38A72757"/>
    <w:rsid w:val="3A277B76"/>
    <w:rsid w:val="3A840A05"/>
    <w:rsid w:val="3AD671E8"/>
    <w:rsid w:val="3B7B2D2A"/>
    <w:rsid w:val="3B952C3F"/>
    <w:rsid w:val="3B97007B"/>
    <w:rsid w:val="3C0A3CD4"/>
    <w:rsid w:val="3DB53FEF"/>
    <w:rsid w:val="3DBE40CC"/>
    <w:rsid w:val="3F671BBA"/>
    <w:rsid w:val="3FAB6CCF"/>
    <w:rsid w:val="3FC3279C"/>
    <w:rsid w:val="3FFC4219"/>
    <w:rsid w:val="41F54661"/>
    <w:rsid w:val="41FF1BD1"/>
    <w:rsid w:val="42234FB8"/>
    <w:rsid w:val="424E1F00"/>
    <w:rsid w:val="437B6026"/>
    <w:rsid w:val="438073EB"/>
    <w:rsid w:val="43AC19D6"/>
    <w:rsid w:val="44050A1B"/>
    <w:rsid w:val="44D33F21"/>
    <w:rsid w:val="45432DF5"/>
    <w:rsid w:val="45A46776"/>
    <w:rsid w:val="45DA4A5B"/>
    <w:rsid w:val="45EA6CF2"/>
    <w:rsid w:val="46582C0F"/>
    <w:rsid w:val="46C33C14"/>
    <w:rsid w:val="476D00C4"/>
    <w:rsid w:val="481568A4"/>
    <w:rsid w:val="48807E1D"/>
    <w:rsid w:val="48B820C5"/>
    <w:rsid w:val="48C60F51"/>
    <w:rsid w:val="49136F17"/>
    <w:rsid w:val="4A4D6C71"/>
    <w:rsid w:val="4B5F2008"/>
    <w:rsid w:val="4B7368C2"/>
    <w:rsid w:val="4C32504B"/>
    <w:rsid w:val="4CAE496D"/>
    <w:rsid w:val="4D187B85"/>
    <w:rsid w:val="4D1913C0"/>
    <w:rsid w:val="4E3D3E24"/>
    <w:rsid w:val="4E5149DA"/>
    <w:rsid w:val="4F0C14A7"/>
    <w:rsid w:val="4F120CC5"/>
    <w:rsid w:val="4F67228A"/>
    <w:rsid w:val="4FEF6C70"/>
    <w:rsid w:val="50ED2DD5"/>
    <w:rsid w:val="513B5199"/>
    <w:rsid w:val="52B312B8"/>
    <w:rsid w:val="53D233F1"/>
    <w:rsid w:val="54800F67"/>
    <w:rsid w:val="55777FE1"/>
    <w:rsid w:val="55921A48"/>
    <w:rsid w:val="55AB1D05"/>
    <w:rsid w:val="55E00764"/>
    <w:rsid w:val="55F6682B"/>
    <w:rsid w:val="55F9067C"/>
    <w:rsid w:val="56073672"/>
    <w:rsid w:val="561D2750"/>
    <w:rsid w:val="56204A35"/>
    <w:rsid w:val="56BC068D"/>
    <w:rsid w:val="5776459D"/>
    <w:rsid w:val="579C551D"/>
    <w:rsid w:val="57D029CA"/>
    <w:rsid w:val="58081696"/>
    <w:rsid w:val="58223285"/>
    <w:rsid w:val="587268A4"/>
    <w:rsid w:val="5994606E"/>
    <w:rsid w:val="5AE52547"/>
    <w:rsid w:val="5B3F440A"/>
    <w:rsid w:val="5B704111"/>
    <w:rsid w:val="5B903451"/>
    <w:rsid w:val="5BB54835"/>
    <w:rsid w:val="5C582F83"/>
    <w:rsid w:val="5C5962C8"/>
    <w:rsid w:val="5CB9211B"/>
    <w:rsid w:val="5DA43D4A"/>
    <w:rsid w:val="5DCA56F0"/>
    <w:rsid w:val="5E010D0E"/>
    <w:rsid w:val="5E155393"/>
    <w:rsid w:val="5E2C3AC2"/>
    <w:rsid w:val="603D7D64"/>
    <w:rsid w:val="611E7A49"/>
    <w:rsid w:val="625E671D"/>
    <w:rsid w:val="62705295"/>
    <w:rsid w:val="62C6512C"/>
    <w:rsid w:val="62DB38E6"/>
    <w:rsid w:val="63987E82"/>
    <w:rsid w:val="63B7105A"/>
    <w:rsid w:val="63BF6F0B"/>
    <w:rsid w:val="63F120E3"/>
    <w:rsid w:val="649069B7"/>
    <w:rsid w:val="64AE408D"/>
    <w:rsid w:val="64F319C7"/>
    <w:rsid w:val="65433902"/>
    <w:rsid w:val="658B1FC6"/>
    <w:rsid w:val="659C1415"/>
    <w:rsid w:val="66BE5A06"/>
    <w:rsid w:val="66CD3A52"/>
    <w:rsid w:val="67283307"/>
    <w:rsid w:val="672D2067"/>
    <w:rsid w:val="673A6C2D"/>
    <w:rsid w:val="67B14F73"/>
    <w:rsid w:val="68283EE3"/>
    <w:rsid w:val="682C1AF3"/>
    <w:rsid w:val="683A7589"/>
    <w:rsid w:val="68B6581D"/>
    <w:rsid w:val="69000973"/>
    <w:rsid w:val="6960797E"/>
    <w:rsid w:val="6A632E75"/>
    <w:rsid w:val="6C310EC5"/>
    <w:rsid w:val="6D1E5C26"/>
    <w:rsid w:val="6D4870EA"/>
    <w:rsid w:val="6E352B8C"/>
    <w:rsid w:val="6E642FBD"/>
    <w:rsid w:val="6F010E32"/>
    <w:rsid w:val="6F622AB3"/>
    <w:rsid w:val="6F732557"/>
    <w:rsid w:val="6FE33997"/>
    <w:rsid w:val="70542C9B"/>
    <w:rsid w:val="70951435"/>
    <w:rsid w:val="70A83CEA"/>
    <w:rsid w:val="71270F41"/>
    <w:rsid w:val="71286149"/>
    <w:rsid w:val="71830FAD"/>
    <w:rsid w:val="72473516"/>
    <w:rsid w:val="72C455BB"/>
    <w:rsid w:val="72DC4182"/>
    <w:rsid w:val="72F53083"/>
    <w:rsid w:val="731422DC"/>
    <w:rsid w:val="73CC2D60"/>
    <w:rsid w:val="74AB4860"/>
    <w:rsid w:val="74D918C9"/>
    <w:rsid w:val="7560001D"/>
    <w:rsid w:val="75846257"/>
    <w:rsid w:val="75B67C13"/>
    <w:rsid w:val="75D16EFD"/>
    <w:rsid w:val="76F479D7"/>
    <w:rsid w:val="77C229A2"/>
    <w:rsid w:val="77D622EA"/>
    <w:rsid w:val="788F7B3F"/>
    <w:rsid w:val="78A91606"/>
    <w:rsid w:val="79620843"/>
    <w:rsid w:val="797F3166"/>
    <w:rsid w:val="798E625A"/>
    <w:rsid w:val="798F30A2"/>
    <w:rsid w:val="7A60333B"/>
    <w:rsid w:val="7AD32283"/>
    <w:rsid w:val="7BD0258E"/>
    <w:rsid w:val="7C0D2136"/>
    <w:rsid w:val="7C3A3F78"/>
    <w:rsid w:val="7E535EF9"/>
    <w:rsid w:val="7EAB619A"/>
    <w:rsid w:val="7F017761"/>
    <w:rsid w:val="7F1B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
    <w:pPr>
      <w:keepNext/>
      <w:keepLines/>
      <w:spacing w:beforeAutospacing="0" w:afterAutospacing="0"/>
      <w:ind w:firstLine="880" w:firstLineChars="200"/>
      <w:outlineLvl w:val="0"/>
    </w:pPr>
    <w:rPr>
      <w:rFonts w:eastAsia="黑体"/>
      <w:kern w:val="44"/>
      <w:sz w:val="32"/>
    </w:rPr>
  </w:style>
  <w:style w:type="paragraph" w:styleId="3">
    <w:name w:val="heading 2"/>
    <w:basedOn w:val="1"/>
    <w:next w:val="1"/>
    <w:link w:val="22"/>
    <w:unhideWhenUsed/>
    <w:qFormat/>
    <w:uiPriority w:val="9"/>
    <w:pPr>
      <w:keepNext/>
      <w:keepLines/>
      <w:adjustRightInd w:val="0"/>
      <w:snapToGrid w:val="0"/>
      <w:spacing w:beforeAutospacing="0" w:afterAutospacing="0"/>
      <w:ind w:firstLine="880" w:firstLineChars="200"/>
      <w:outlineLvl w:val="1"/>
    </w:pPr>
    <w:rPr>
      <w:rFonts w:ascii="Arial" w:hAnsi="Arial" w:eastAsia="黑体"/>
      <w:sz w:val="28"/>
    </w:rPr>
  </w:style>
  <w:style w:type="paragraph" w:styleId="4">
    <w:name w:val="heading 3"/>
    <w:basedOn w:val="1"/>
    <w:next w:val="1"/>
    <w:unhideWhenUsed/>
    <w:qFormat/>
    <w:uiPriority w:val="9"/>
    <w:pPr>
      <w:keepNext/>
      <w:keepLines/>
      <w:adjustRightInd w:val="0"/>
      <w:snapToGrid w:val="0"/>
      <w:spacing w:beforeAutospacing="0" w:afterAutospacing="0"/>
      <w:ind w:firstLine="880" w:firstLineChars="200"/>
      <w:outlineLvl w:val="2"/>
    </w:pPr>
    <w:rPr>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unhideWhenUsed/>
    <w:qFormat/>
    <w:uiPriority w:val="99"/>
    <w:pPr>
      <w:ind w:firstLine="538" w:firstLineChars="192"/>
    </w:pPr>
    <w:rPr>
      <w:rFonts w:ascii="宋体"/>
      <w:sz w:val="28"/>
    </w:rPr>
  </w:style>
  <w:style w:type="paragraph" w:styleId="6">
    <w:name w:val="toc 3"/>
    <w:basedOn w:val="1"/>
    <w:next w:val="1"/>
    <w:unhideWhenUsed/>
    <w:uiPriority w:val="39"/>
    <w:pPr>
      <w:ind w:left="840" w:leftChars="400"/>
    </w:pPr>
  </w:style>
  <w:style w:type="paragraph" w:styleId="7">
    <w:name w:val="Balloon Text"/>
    <w:basedOn w:val="1"/>
    <w:link w:val="23"/>
    <w:semiHidden/>
    <w:unhideWhenUsed/>
    <w:qFormat/>
    <w:uiPriority w:val="99"/>
    <w:pPr>
      <w:spacing w:before="0" w:after="0"/>
    </w:pPr>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Body Text Indent 3"/>
    <w:basedOn w:val="1"/>
    <w:unhideWhenUsed/>
    <w:qFormat/>
    <w:uiPriority w:val="99"/>
    <w:pPr>
      <w:ind w:firstLine="480" w:firstLineChars="200"/>
    </w:pPr>
    <w:rPr>
      <w:rFonts w:eastAsia="楷体_GB2312"/>
      <w:sz w:val="24"/>
    </w:rPr>
  </w:style>
  <w:style w:type="paragraph" w:styleId="12">
    <w:name w:val="toc 2"/>
    <w:basedOn w:val="1"/>
    <w:next w:val="1"/>
    <w:unhideWhenUsed/>
    <w:qFormat/>
    <w:uiPriority w:val="39"/>
    <w:pPr>
      <w:ind w:left="420" w:left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unhideWhenUsed/>
    <w:qFormat/>
    <w:uiPriority w:val="99"/>
  </w:style>
  <w:style w:type="character" w:styleId="17">
    <w:name w:val="Emphasis"/>
    <w:basedOn w:val="15"/>
    <w:qFormat/>
    <w:uiPriority w:val="20"/>
    <w:rPr>
      <w:i/>
    </w:rPr>
  </w:style>
  <w:style w:type="paragraph" w:customStyle="1" w:styleId="18">
    <w:name w:val="列出段落1"/>
    <w:basedOn w:val="1"/>
    <w:qFormat/>
    <w:uiPriority w:val="34"/>
    <w:pPr>
      <w:ind w:firstLine="420" w:firstLineChars="200"/>
    </w:pPr>
  </w:style>
  <w:style w:type="character" w:customStyle="1" w:styleId="19">
    <w:name w:val="c"/>
    <w:basedOn w:val="15"/>
    <w:qFormat/>
    <w:uiPriority w:val="0"/>
  </w:style>
  <w:style w:type="character" w:customStyle="1" w:styleId="20">
    <w:name w:val="页眉 Char"/>
    <w:basedOn w:val="15"/>
    <w:link w:val="9"/>
    <w:qFormat/>
    <w:uiPriority w:val="99"/>
    <w:rPr>
      <w:rFonts w:ascii="Calibri" w:hAnsi="Calibri"/>
      <w:kern w:val="2"/>
      <w:sz w:val="18"/>
      <w:szCs w:val="18"/>
    </w:rPr>
  </w:style>
  <w:style w:type="character" w:customStyle="1" w:styleId="21">
    <w:name w:val="标题 1 Char"/>
    <w:link w:val="2"/>
    <w:qFormat/>
    <w:uiPriority w:val="0"/>
    <w:rPr>
      <w:rFonts w:eastAsia="黑体"/>
      <w:kern w:val="44"/>
      <w:sz w:val="32"/>
    </w:rPr>
  </w:style>
  <w:style w:type="character" w:customStyle="1" w:styleId="22">
    <w:name w:val="标题 2 Char"/>
    <w:link w:val="3"/>
    <w:qFormat/>
    <w:uiPriority w:val="9"/>
    <w:rPr>
      <w:rFonts w:ascii="Arial" w:hAnsi="Arial" w:eastAsia="黑体"/>
      <w:sz w:val="28"/>
    </w:rPr>
  </w:style>
  <w:style w:type="character" w:customStyle="1" w:styleId="23">
    <w:name w:val="批注框文本 Char"/>
    <w:basedOn w:val="15"/>
    <w:link w:val="7"/>
    <w:semiHidden/>
    <w:qFormat/>
    <w:uiPriority w:val="99"/>
    <w:rPr>
      <w:rFonts w:ascii="Calibri" w:hAnsi="Calibri"/>
      <w:kern w:val="2"/>
      <w:sz w:val="18"/>
      <w:szCs w:val="1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1800" b="1">
                <a:solidFill>
                  <a:schemeClr val="tx2"/>
                </a:solidFill>
              </a:rPr>
              <a:t>学历结构分析图</a:t>
            </a:r>
            <a:endParaRPr lang="zh-CN" altLang="en-US" sz="1800" b="1">
              <a:solidFill>
                <a:schemeClr val="tx2"/>
              </a:solidFill>
            </a:endParaRPr>
          </a:p>
        </c:rich>
      </c:tx>
      <c:layout/>
      <c:overlay val="0"/>
      <c:spPr>
        <a:noFill/>
        <a:ln>
          <a:noFill/>
        </a:ln>
        <a:effectLst/>
      </c:spPr>
    </c:title>
    <c:autoTitleDeleted val="0"/>
    <c:plotArea>
      <c:layout>
        <c:manualLayout>
          <c:layoutTarget val="inner"/>
          <c:xMode val="edge"/>
          <c:yMode val="edge"/>
          <c:x val="0.055688429217841"/>
          <c:y val="0.236689655172414"/>
          <c:w val="0.906819650937298"/>
          <c:h val="0.565075862068966"/>
        </c:manualLayout>
      </c:layout>
      <c:barChart>
        <c:barDir val="col"/>
        <c:grouping val="clustered"/>
        <c:varyColors val="0"/>
        <c:ser>
          <c:idx val="0"/>
          <c:order val="0"/>
          <c:tx>
            <c:strRef>
              <c:f>Sheet1!$B$1</c:f>
              <c:strCache>
                <c:ptCount val="1"/>
                <c:pt idx="0">
                  <c:v>博士</c:v>
                </c:pt>
              </c:strCache>
            </c:strRef>
          </c:tx>
          <c:spPr>
            <a:solidFill>
              <a:schemeClr val="accent1"/>
            </a:solidFill>
            <a:ln>
              <a:noFill/>
            </a:ln>
            <a:effectLst/>
          </c:spPr>
          <c:invertIfNegative val="0"/>
          <c:dLbls>
            <c:delete val="1"/>
          </c:dLbls>
          <c:cat>
            <c:numRef>
              <c:f>Sheet1!$A$2</c:f>
              <c:numCache>
                <c:formatCode>General</c:formatCode>
                <c:ptCount val="1"/>
              </c:numCache>
            </c:numRef>
          </c:cat>
          <c:val>
            <c:numRef>
              <c:f>Sheet1!$B$2</c:f>
              <c:numCache>
                <c:formatCode>General</c:formatCode>
                <c:ptCount val="1"/>
                <c:pt idx="0">
                  <c:v>7</c:v>
                </c:pt>
              </c:numCache>
            </c:numRef>
          </c:val>
        </c:ser>
        <c:ser>
          <c:idx val="1"/>
          <c:order val="1"/>
          <c:tx>
            <c:strRef>
              <c:f>Sheet1!$C$1</c:f>
              <c:strCache>
                <c:ptCount val="1"/>
                <c:pt idx="0">
                  <c:v>硕士</c:v>
                </c:pt>
              </c:strCache>
            </c:strRef>
          </c:tx>
          <c:spPr>
            <a:solidFill>
              <a:schemeClr val="accent2"/>
            </a:solidFill>
            <a:ln>
              <a:noFill/>
            </a:ln>
            <a:effectLst/>
          </c:spPr>
          <c:invertIfNegative val="0"/>
          <c:dLbls>
            <c:delete val="1"/>
          </c:dLbls>
          <c:cat>
            <c:numRef>
              <c:f>Sheet1!$A$2</c:f>
              <c:numCache>
                <c:formatCode>General</c:formatCode>
                <c:ptCount val="1"/>
              </c:numCache>
            </c:numRef>
          </c:cat>
          <c:val>
            <c:numRef>
              <c:f>Sheet1!$C$2</c:f>
              <c:numCache>
                <c:formatCode>General</c:formatCode>
                <c:ptCount val="1"/>
                <c:pt idx="0">
                  <c:v>93</c:v>
                </c:pt>
              </c:numCache>
            </c:numRef>
          </c:val>
        </c:ser>
        <c:ser>
          <c:idx val="2"/>
          <c:order val="2"/>
          <c:tx>
            <c:strRef>
              <c:f>Sheet1!$D$1</c:f>
              <c:strCache>
                <c:ptCount val="1"/>
                <c:pt idx="0">
                  <c:v>学士</c:v>
                </c:pt>
              </c:strCache>
            </c:strRef>
          </c:tx>
          <c:spPr>
            <a:solidFill>
              <a:schemeClr val="accent3"/>
            </a:solidFill>
            <a:ln>
              <a:noFill/>
            </a:ln>
            <a:effectLst/>
          </c:spPr>
          <c:invertIfNegative val="0"/>
          <c:dLbls>
            <c:delete val="1"/>
          </c:dLbls>
          <c:cat>
            <c:numRef>
              <c:f>Sheet1!$A$2</c:f>
              <c:numCache>
                <c:formatCode>General</c:formatCode>
                <c:ptCount val="1"/>
              </c:numCache>
            </c:numRef>
          </c:cat>
          <c:val>
            <c:numRef>
              <c:f>Sheet1!$D$2</c:f>
              <c:numCache>
                <c:formatCode>General</c:formatCode>
                <c:ptCount val="1"/>
                <c:pt idx="0">
                  <c:v>0</c:v>
                </c:pt>
              </c:numCache>
            </c:numRef>
          </c:val>
        </c:ser>
        <c:dLbls>
          <c:showLegendKey val="0"/>
          <c:showVal val="1"/>
          <c:showCatName val="0"/>
          <c:showSerName val="0"/>
          <c:showPercent val="0"/>
          <c:showBubbleSize val="0"/>
        </c:dLbls>
        <c:gapWidth val="75"/>
        <c:overlap val="-25"/>
        <c:axId val="229427840"/>
        <c:axId val="228647296"/>
      </c:barChart>
      <c:catAx>
        <c:axId val="22942784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8647296"/>
        <c:crosses val="autoZero"/>
        <c:auto val="1"/>
        <c:lblAlgn val="ctr"/>
        <c:lblOffset val="100"/>
        <c:noMultiLvlLbl val="0"/>
      </c:catAx>
      <c:valAx>
        <c:axId val="2286472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9427840"/>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2000" b="1">
                <a:solidFill>
                  <a:schemeClr val="tx2"/>
                </a:solidFill>
              </a:rPr>
              <a:t>职称结构分析图</a:t>
            </a:r>
            <a:endParaRPr lang="zh-CN" altLang="en-US" sz="2000" b="1">
              <a:solidFill>
                <a:schemeClr val="tx2"/>
              </a:solidFill>
            </a:endParaRP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教授</c:v>
                </c:pt>
                <c:pt idx="1">
                  <c:v>副教授</c:v>
                </c:pt>
                <c:pt idx="2">
                  <c:v>讲师</c:v>
                </c:pt>
                <c:pt idx="3">
                  <c:v>助教</c:v>
                </c:pt>
              </c:strCache>
            </c:strRef>
          </c:cat>
          <c:val>
            <c:numRef>
              <c:f>Sheet1!$B$2:$B$5</c:f>
              <c:numCache>
                <c:formatCode>General</c:formatCode>
                <c:ptCount val="4"/>
                <c:pt idx="0">
                  <c:v>0</c:v>
                </c:pt>
                <c:pt idx="1">
                  <c:v>33</c:v>
                </c:pt>
                <c:pt idx="2">
                  <c:v>42</c:v>
                </c:pt>
                <c:pt idx="3">
                  <c:v>25</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A8BFD1-3B32-499E-8028-512C77D621D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2692</Words>
  <Characters>15346</Characters>
  <Lines>127</Lines>
  <Paragraphs>36</Paragraphs>
  <TotalTime>18</TotalTime>
  <ScaleCrop>false</ScaleCrop>
  <LinksUpToDate>false</LinksUpToDate>
  <CharactersWithSpaces>18002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2020-04-03T04:04:00Z</dcterms:created>
  <dc:creator>AutoBVT</dc:creator>
  <cp:lastModifiedBy>喜洋洋616</cp:lastModifiedBy>
  <cp:lastPrinted>2019-02-26T03:03:00Z</cp:lastPrinted>
  <dcterms:modified xsi:type="dcterms:W3CDTF">2020-04-03T14:31:02Z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KSORubyTemplateID" linkTarget="0">
    <vt:lpwstr>6</vt:lpwstr>
  </property>
</Properties>
</file>