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rPr>
          <w:rFonts w:ascii="宋体" w:hAnsi="宋体" w:cs="宋体"/>
        </w:rPr>
      </w:pPr>
      <w:bookmarkStart w:id="0" w:name="_Toc36540519"/>
    </w:p>
    <w:p>
      <w:pPr>
        <w:wordWrap w:val="0"/>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r>
        <w:rPr>
          <w:rFonts w:hint="eastAsia" w:ascii="汉仪中黑简" w:eastAsia="汉仪中黑简"/>
          <w:w w:val="60"/>
          <w:sz w:val="44"/>
          <w:szCs w:val="44"/>
        </w:rPr>
        <w:drawing>
          <wp:anchor distT="0" distB="0" distL="114300" distR="114300" simplePos="0" relativeHeight="251660288" behindDoc="0" locked="0" layoutInCell="1" allowOverlap="1">
            <wp:simplePos x="0" y="0"/>
            <wp:positionH relativeFrom="column">
              <wp:posOffset>248920</wp:posOffset>
            </wp:positionH>
            <wp:positionV relativeFrom="page">
              <wp:posOffset>924560</wp:posOffset>
            </wp:positionV>
            <wp:extent cx="773430" cy="767715"/>
            <wp:effectExtent l="0" t="0" r="7620" b="13335"/>
            <wp:wrapNone/>
            <wp:docPr id="1" name="图片 2" descr="校徽矢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校徽矢量图"/>
                    <pic:cNvPicPr>
                      <a:picLocks noChangeAspect="1"/>
                    </pic:cNvPicPr>
                  </pic:nvPicPr>
                  <pic:blipFill>
                    <a:blip r:embed="rId6">
                      <a:grayscl/>
                    </a:blip>
                    <a:stretch>
                      <a:fillRect/>
                    </a:stretch>
                  </pic:blipFill>
                  <pic:spPr>
                    <a:xfrm>
                      <a:off x="0" y="0"/>
                      <a:ext cx="773430" cy="767715"/>
                    </a:xfrm>
                    <a:prstGeom prst="rect">
                      <a:avLst/>
                    </a:prstGeom>
                    <a:noFill/>
                    <a:ln w="9525">
                      <a:noFill/>
                    </a:ln>
                  </pic:spPr>
                </pic:pic>
              </a:graphicData>
            </a:graphic>
          </wp:anchor>
        </w:drawing>
      </w:r>
    </w:p>
    <w:p>
      <w:pPr>
        <w:wordWrap w:val="0"/>
        <w:ind w:firstLine="220" w:firstLineChars="50"/>
        <w:rPr>
          <w:rFonts w:hint="eastAsia" w:ascii="汉仪中隶书简" w:eastAsia="汉仪中隶书简"/>
          <w:sz w:val="44"/>
          <w:szCs w:val="44"/>
        </w:rPr>
      </w:pPr>
      <w:r>
        <w:rPr>
          <w:rFonts w:hint="eastAsia" w:ascii="汉仪中隶书简" w:eastAsia="汉仪中隶书简"/>
          <w:sz w:val="44"/>
          <w:szCs w:val="44"/>
        </w:rPr>
        <w:t xml:space="preserve">   </w:t>
      </w:r>
    </w:p>
    <w:p>
      <w:pPr>
        <w:wordWrap w:val="0"/>
        <w:ind w:firstLine="220" w:firstLineChars="50"/>
        <w:rPr>
          <w:rFonts w:hint="eastAsia" w:ascii="汉仪中隶书简" w:eastAsia="汉仪中隶书简"/>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color w:val="auto"/>
          <w:sz w:val="56"/>
          <w:szCs w:val="56"/>
        </w:rPr>
      </w:pPr>
      <w:r>
        <w:rPr>
          <w:rFonts w:hint="eastAsia" w:ascii="黑体" w:hAnsi="黑体" w:eastAsia="黑体" w:cs="黑体"/>
          <w:color w:val="auto"/>
          <w:sz w:val="56"/>
          <w:szCs w:val="56"/>
          <w:lang w:eastAsia="zh-CN"/>
        </w:rPr>
        <w:t>食品质量与安全</w:t>
      </w:r>
      <w:r>
        <w:rPr>
          <w:rFonts w:hint="eastAsia" w:ascii="黑体" w:hAnsi="黑体" w:eastAsia="黑体" w:cs="黑体"/>
          <w:color w:val="auto"/>
          <w:sz w:val="56"/>
          <w:szCs w:val="56"/>
        </w:rPr>
        <w:t>专业</w:t>
      </w:r>
      <w:r>
        <w:rPr>
          <w:rFonts w:hint="eastAsia" w:ascii="黑体" w:hAnsi="黑体" w:eastAsia="黑体" w:cs="黑体"/>
          <w:color w:val="auto"/>
          <w:sz w:val="56"/>
          <w:szCs w:val="56"/>
          <w:lang w:eastAsia="zh-CN"/>
        </w:rPr>
        <w:t>申请</w:t>
      </w:r>
      <w:r>
        <w:rPr>
          <w:rFonts w:hint="eastAsia" w:ascii="黑体" w:hAnsi="黑体" w:eastAsia="黑体" w:cs="黑体"/>
          <w:color w:val="auto"/>
          <w:sz w:val="56"/>
          <w:szCs w:val="56"/>
        </w:rPr>
        <w:t>新增</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color w:val="auto"/>
          <w:sz w:val="56"/>
          <w:szCs w:val="56"/>
          <w:lang w:eastAsia="zh-CN"/>
        </w:rPr>
      </w:pPr>
      <w:r>
        <w:rPr>
          <w:rFonts w:hint="eastAsia" w:ascii="黑体" w:hAnsi="黑体" w:eastAsia="黑体" w:cs="黑体"/>
          <w:color w:val="auto"/>
          <w:sz w:val="56"/>
          <w:szCs w:val="56"/>
        </w:rPr>
        <w:t>学士学位</w:t>
      </w:r>
      <w:r>
        <w:rPr>
          <w:rFonts w:hint="eastAsia" w:ascii="黑体" w:hAnsi="黑体" w:eastAsia="黑体" w:cs="黑体"/>
          <w:color w:val="auto"/>
          <w:sz w:val="56"/>
          <w:szCs w:val="56"/>
          <w:lang w:eastAsia="zh-CN"/>
        </w:rPr>
        <w:t>授予权</w:t>
      </w:r>
    </w:p>
    <w:p>
      <w:pPr>
        <w:jc w:val="center"/>
        <w:rPr>
          <w:rFonts w:ascii="汉仪大宋简" w:eastAsia="汉仪大宋简"/>
          <w:w w:val="70"/>
          <w:sz w:val="84"/>
          <w:szCs w:val="84"/>
        </w:rPr>
      </w:pPr>
      <w:r>
        <w:rPr>
          <w:rFonts w:hint="eastAsia" w:ascii="黑体" w:hAnsi="黑体" w:eastAsia="黑体" w:cs="黑体"/>
          <w:color w:val="auto"/>
          <w:sz w:val="56"/>
          <w:szCs w:val="56"/>
        </w:rPr>
        <w:t>自评报告</w:t>
      </w:r>
    </w:p>
    <w:p>
      <w:pPr>
        <w:wordWrap w:val="0"/>
      </w:pPr>
    </w:p>
    <w:p>
      <w:pPr>
        <w:wordWrap w:val="0"/>
      </w:pPr>
    </w:p>
    <w:p>
      <w:pPr>
        <w:wordWrap w:val="0"/>
      </w:pPr>
    </w:p>
    <w:p>
      <w:pPr>
        <w:rPr>
          <w:rFonts w:ascii="汉仪大宋简" w:eastAsia="汉仪大宋简"/>
          <w:w w:val="70"/>
          <w:sz w:val="84"/>
          <w:szCs w:val="84"/>
        </w:rPr>
      </w:pPr>
      <w:r>
        <w:rPr>
          <w:rFonts w:hint="eastAsia" w:ascii="汉仪大宋简" w:eastAsia="汉仪大宋简"/>
          <w:w w:val="70"/>
          <w:sz w:val="84"/>
          <w:szCs w:val="84"/>
        </w:rPr>
        <w:t xml:space="preserve">      </w:t>
      </w:r>
    </w:p>
    <w:p>
      <w:pPr>
        <w:wordWrap w:val="0"/>
      </w:pPr>
    </w:p>
    <w:p>
      <w:pPr>
        <w:wordWrap w:val="0"/>
      </w:pPr>
    </w:p>
    <w:p>
      <w:pPr>
        <w:wordWrap w:val="0"/>
      </w:pPr>
    </w:p>
    <w:p>
      <w:pPr>
        <w:wordWrap w:val="0"/>
      </w:pPr>
    </w:p>
    <w:p>
      <w:pPr>
        <w:wordWrap w:val="0"/>
      </w:pPr>
    </w:p>
    <w:p>
      <w:pPr>
        <w:wordWrap w:val="0"/>
      </w:pPr>
    </w:p>
    <w:p>
      <w:pPr>
        <w:wordWrap w:val="0"/>
      </w:pPr>
    </w:p>
    <w:p>
      <w:pPr>
        <w:wordWrap w:val="0"/>
      </w:pPr>
    </w:p>
    <w:p>
      <w:pPr>
        <w:wordWrap w:val="0"/>
      </w:pPr>
    </w:p>
    <w:p>
      <w:pPr>
        <w:jc w:val="center"/>
        <w:rPr>
          <w:rFonts w:ascii="黑体" w:eastAsia="黑体"/>
          <w:sz w:val="36"/>
          <w:szCs w:val="36"/>
        </w:rPr>
      </w:pPr>
      <w:r>
        <w:rPr>
          <w:rFonts w:hint="eastAsia" w:ascii="黑体" w:eastAsia="黑体"/>
          <w:sz w:val="36"/>
          <w:szCs w:val="36"/>
        </w:rPr>
        <w:t>黑 龙 江 工 业 学 院</w:t>
      </w:r>
    </w:p>
    <w:p>
      <w:pPr>
        <w:wordWrap w:val="0"/>
        <w:jc w:val="center"/>
        <w:rPr>
          <w:rFonts w:hint="eastAsia" w:ascii="黑体" w:eastAsia="黑体"/>
          <w:sz w:val="36"/>
          <w:szCs w:val="36"/>
        </w:rPr>
      </w:pPr>
      <w:r>
        <w:rPr>
          <w:rFonts w:hint="eastAsia" w:ascii="黑体" w:eastAsia="黑体"/>
          <w:sz w:val="36"/>
          <w:szCs w:val="36"/>
        </w:rPr>
        <w:t>2022年</w:t>
      </w:r>
      <w:r>
        <w:rPr>
          <w:rFonts w:hint="eastAsia" w:ascii="黑体" w:eastAsia="黑体"/>
          <w:sz w:val="36"/>
          <w:szCs w:val="36"/>
          <w:lang w:val="en-US" w:eastAsia="zh-CN"/>
        </w:rPr>
        <w:t>4</w:t>
      </w:r>
      <w:r>
        <w:rPr>
          <w:rFonts w:hint="eastAsia" w:ascii="黑体" w:eastAsia="黑体"/>
          <w:sz w:val="36"/>
          <w:szCs w:val="36"/>
        </w:rPr>
        <w:t>月</w:t>
      </w:r>
    </w:p>
    <w:sdt>
      <w:sdtPr>
        <w:rPr>
          <w:rFonts w:ascii="Times New Roman" w:hAnsi="Times New Roman" w:eastAsia="宋体" w:cs="Times New Roman"/>
          <w:b w:val="0"/>
          <w:bCs w:val="0"/>
          <w:color w:val="auto"/>
          <w:kern w:val="2"/>
          <w:sz w:val="21"/>
          <w:szCs w:val="24"/>
          <w:lang w:val="zh-CN"/>
        </w:rPr>
        <w:id w:val="28179730"/>
        <w:docPartObj>
          <w:docPartGallery w:val="Table of Contents"/>
          <w:docPartUnique/>
        </w:docPartObj>
      </w:sdtPr>
      <w:sdtEndPr>
        <w:rPr>
          <w:rFonts w:ascii="Times New Roman" w:hAnsi="Times New Roman" w:eastAsia="宋体" w:cs="Times New Roman"/>
          <w:b w:val="0"/>
          <w:bCs w:val="0"/>
          <w:color w:val="auto"/>
          <w:kern w:val="2"/>
          <w:sz w:val="21"/>
          <w:szCs w:val="24"/>
          <w:lang w:val="en-US"/>
        </w:rPr>
      </w:sdtEndPr>
      <w:sdtContent>
        <w:p>
          <w:pPr>
            <w:pStyle w:val="18"/>
            <w:jc w:val="center"/>
          </w:pPr>
          <w:r>
            <w:rPr>
              <w:rFonts w:hint="eastAsia" w:ascii="楷体" w:hAnsi="楷体" w:eastAsia="楷体"/>
              <w:b/>
              <w:color w:val="auto"/>
              <w:sz w:val="44"/>
              <w:szCs w:val="44"/>
            </w:rPr>
            <w:t>目  录</w:t>
          </w:r>
        </w:p>
        <w:p>
          <w:pPr>
            <w:pStyle w:val="8"/>
            <w:tabs>
              <w:tab w:val="right" w:leader="dot" w:pos="9060"/>
            </w:tabs>
            <w:rPr>
              <w:rFonts w:ascii="宋体" w:hAnsi="宋体" w:eastAsia="宋体"/>
              <w:kern w:val="2"/>
              <w:sz w:val="24"/>
              <w:szCs w:val="24"/>
            </w:rPr>
          </w:pPr>
          <w:r>
            <w:fldChar w:fldCharType="begin"/>
          </w:r>
          <w:r>
            <w:instrText xml:space="preserve"> TOC \o "1-3" \h \z \u </w:instrText>
          </w:r>
          <w:r>
            <w:fldChar w:fldCharType="separate"/>
          </w:r>
          <w:r>
            <w:rPr>
              <w:rFonts w:hint="eastAsia" w:ascii="黑体" w:hAnsi="黑体" w:eastAsia="黑体" w:cs="黑体"/>
            </w:rPr>
            <w:fldChar w:fldCharType="begin"/>
          </w:r>
          <w:r>
            <w:rPr>
              <w:rFonts w:hint="eastAsia" w:ascii="黑体" w:hAnsi="黑体" w:eastAsia="黑体" w:cs="黑体"/>
            </w:rPr>
            <w:instrText xml:space="preserve"> HYPERLINK \l "_Toc103005261" </w:instrText>
          </w:r>
          <w:r>
            <w:rPr>
              <w:rFonts w:hint="eastAsia" w:ascii="黑体" w:hAnsi="黑体" w:eastAsia="黑体" w:cs="黑体"/>
            </w:rPr>
            <w:fldChar w:fldCharType="separate"/>
          </w:r>
          <w:r>
            <w:rPr>
              <w:rStyle w:val="12"/>
              <w:rFonts w:hint="eastAsia" w:ascii="黑体" w:hAnsi="黑体" w:eastAsia="黑体" w:cs="黑体"/>
              <w:b/>
              <w:sz w:val="24"/>
              <w:szCs w:val="24"/>
            </w:rPr>
            <w:t>1 专业定位与目标</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_Toc103005261 \h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9"/>
            <w:tabs>
              <w:tab w:val="right" w:leader="dot" w:pos="9060"/>
            </w:tabs>
            <w:rPr>
              <w:rFonts w:hint="eastAsia" w:ascii="仿宋" w:hAnsi="仿宋" w:eastAsia="仿宋" w:cs="仿宋"/>
              <w:kern w:val="2"/>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"_Toc103005262" </w:instrText>
          </w:r>
          <w:r>
            <w:rPr>
              <w:rFonts w:hint="eastAsia" w:ascii="仿宋" w:hAnsi="仿宋" w:eastAsia="仿宋" w:cs="仿宋"/>
              <w:sz w:val="24"/>
              <w:szCs w:val="24"/>
            </w:rPr>
            <w:fldChar w:fldCharType="separate"/>
          </w:r>
          <w:r>
            <w:rPr>
              <w:rStyle w:val="12"/>
              <w:rFonts w:hint="eastAsia" w:ascii="仿宋" w:hAnsi="仿宋" w:eastAsia="仿宋" w:cs="仿宋"/>
              <w:sz w:val="24"/>
              <w:szCs w:val="24"/>
            </w:rPr>
            <w:t>1.1 针对国家和社会需求的办学定位</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_Toc103005262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9060"/>
            </w:tabs>
            <w:rPr>
              <w:rFonts w:hint="eastAsia" w:ascii="仿宋" w:hAnsi="仿宋" w:eastAsia="仿宋" w:cs="仿宋"/>
              <w:kern w:val="2"/>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"_Toc103005263" </w:instrText>
          </w:r>
          <w:r>
            <w:rPr>
              <w:rFonts w:hint="eastAsia" w:ascii="仿宋" w:hAnsi="仿宋" w:eastAsia="仿宋" w:cs="仿宋"/>
              <w:sz w:val="24"/>
              <w:szCs w:val="24"/>
            </w:rPr>
            <w:fldChar w:fldCharType="separate"/>
          </w:r>
          <w:r>
            <w:rPr>
              <w:rStyle w:val="12"/>
              <w:rFonts w:hint="eastAsia" w:ascii="仿宋" w:hAnsi="仿宋" w:eastAsia="仿宋" w:cs="仿宋"/>
              <w:sz w:val="24"/>
              <w:szCs w:val="24"/>
            </w:rPr>
            <w:t>1.2 针对学生发展需求的培养目标</w:t>
          </w:r>
          <w:r>
            <w:rPr>
              <w:rFonts w:hint="eastAsia" w:ascii="仿宋" w:hAnsi="仿宋" w:eastAsia="仿宋" w:cs="仿宋"/>
              <w:sz w:val="24"/>
              <w:szCs w:val="24"/>
            </w:rPr>
            <w:tab/>
          </w:r>
          <w:r>
            <w:rPr>
              <w:rFonts w:hint="eastAsia" w:ascii="仿宋" w:hAnsi="仿宋" w:eastAsia="仿宋" w:cs="仿宋"/>
              <w:sz w:val="24"/>
              <w:szCs w:val="24"/>
              <w:lang w:val="en-US" w:eastAsia="zh-CN"/>
            </w:rPr>
            <w:t>2</w:t>
          </w:r>
          <w:r>
            <w:rPr>
              <w:rFonts w:hint="eastAsia" w:ascii="仿宋" w:hAnsi="仿宋" w:eastAsia="仿宋" w:cs="仿宋"/>
              <w:sz w:val="24"/>
              <w:szCs w:val="24"/>
            </w:rPr>
            <w:fldChar w:fldCharType="end"/>
          </w:r>
        </w:p>
        <w:p>
          <w:pPr>
            <w:pStyle w:val="9"/>
            <w:tabs>
              <w:tab w:val="right" w:leader="dot" w:pos="9060"/>
            </w:tabs>
            <w:rPr>
              <w:rFonts w:ascii="宋体" w:hAnsi="宋体" w:eastAsia="宋体"/>
              <w:kern w:val="2"/>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"_Toc103005264" </w:instrText>
          </w:r>
          <w:r>
            <w:rPr>
              <w:rFonts w:hint="eastAsia" w:ascii="仿宋" w:hAnsi="仿宋" w:eastAsia="仿宋" w:cs="仿宋"/>
              <w:sz w:val="24"/>
              <w:szCs w:val="24"/>
            </w:rPr>
            <w:fldChar w:fldCharType="separate"/>
          </w:r>
          <w:r>
            <w:rPr>
              <w:rStyle w:val="12"/>
              <w:rFonts w:hint="eastAsia" w:ascii="仿宋" w:hAnsi="仿宋" w:eastAsia="仿宋" w:cs="仿宋"/>
              <w:sz w:val="24"/>
              <w:szCs w:val="24"/>
            </w:rPr>
            <w:t>1.3 人才培养中心地位</w:t>
          </w:r>
          <w:r>
            <w:rPr>
              <w:rFonts w:hint="eastAsia" w:ascii="仿宋" w:hAnsi="仿宋" w:eastAsia="仿宋" w:cs="仿宋"/>
              <w:sz w:val="24"/>
              <w:szCs w:val="24"/>
            </w:rPr>
            <w:tab/>
          </w:r>
          <w:r>
            <w:rPr>
              <w:rFonts w:hint="eastAsia" w:ascii="仿宋" w:hAnsi="仿宋" w:eastAsia="仿宋" w:cs="仿宋"/>
              <w:sz w:val="24"/>
              <w:szCs w:val="24"/>
              <w:lang w:val="en-US" w:eastAsia="zh-CN"/>
            </w:rPr>
            <w:t>4</w:t>
          </w:r>
          <w:r>
            <w:rPr>
              <w:rFonts w:hint="eastAsia" w:ascii="仿宋" w:hAnsi="仿宋" w:eastAsia="仿宋" w:cs="仿宋"/>
              <w:sz w:val="24"/>
              <w:szCs w:val="24"/>
            </w:rPr>
            <w:fldChar w:fldCharType="end"/>
          </w:r>
        </w:p>
        <w:p>
          <w:pPr>
            <w:pStyle w:val="8"/>
            <w:tabs>
              <w:tab w:val="right" w:leader="dot" w:pos="9060"/>
            </w:tabs>
            <w:rPr>
              <w:rFonts w:ascii="宋体" w:hAnsi="宋体" w:eastAsia="宋体"/>
              <w:kern w:val="2"/>
              <w:sz w:val="24"/>
              <w:szCs w:val="24"/>
            </w:rPr>
          </w:pPr>
          <w:r>
            <w:rPr>
              <w:rFonts w:hint="eastAsia" w:ascii="黑体" w:hAnsi="黑体" w:eastAsia="黑体" w:cs="黑体"/>
            </w:rPr>
            <w:fldChar w:fldCharType="begin"/>
          </w:r>
          <w:r>
            <w:rPr>
              <w:rFonts w:hint="eastAsia" w:ascii="黑体" w:hAnsi="黑体" w:eastAsia="黑体" w:cs="黑体"/>
            </w:rPr>
            <w:instrText xml:space="preserve"> HYPERLINK \l "_Toc103005265" </w:instrText>
          </w:r>
          <w:r>
            <w:rPr>
              <w:rFonts w:hint="eastAsia" w:ascii="黑体" w:hAnsi="黑体" w:eastAsia="黑体" w:cs="黑体"/>
            </w:rPr>
            <w:fldChar w:fldCharType="separate"/>
          </w:r>
          <w:r>
            <w:rPr>
              <w:rStyle w:val="12"/>
              <w:rFonts w:hint="eastAsia" w:ascii="黑体" w:hAnsi="黑体" w:eastAsia="黑体" w:cs="黑体"/>
              <w:b/>
              <w:sz w:val="24"/>
              <w:szCs w:val="24"/>
            </w:rPr>
            <w:t>2 师资队伍</w:t>
          </w:r>
          <w:bookmarkStart w:id="39" w:name="_GoBack"/>
          <w:bookmarkEnd w:id="39"/>
          <w:r>
            <w:rPr>
              <w:rFonts w:hint="eastAsia" w:ascii="黑体" w:hAnsi="黑体" w:eastAsia="黑体" w:cs="黑体"/>
              <w:sz w:val="24"/>
              <w:szCs w:val="24"/>
            </w:rPr>
            <w:tab/>
          </w:r>
          <w:r>
            <w:rPr>
              <w:rFonts w:hint="eastAsia" w:ascii="黑体" w:hAnsi="黑体" w:eastAsia="黑体" w:cs="黑体"/>
              <w:sz w:val="24"/>
              <w:szCs w:val="24"/>
              <w:lang w:val="en-US" w:eastAsia="zh-CN"/>
            </w:rPr>
            <w:t>6</w:t>
          </w:r>
          <w:r>
            <w:rPr>
              <w:rFonts w:hint="eastAsia" w:ascii="黑体" w:hAnsi="黑体" w:eastAsia="黑体" w:cs="黑体"/>
              <w:sz w:val="24"/>
              <w:szCs w:val="24"/>
            </w:rPr>
            <w:fldChar w:fldCharType="end"/>
          </w:r>
        </w:p>
        <w:p>
          <w:pPr>
            <w:pStyle w:val="9"/>
            <w:tabs>
              <w:tab w:val="right" w:leader="dot" w:pos="9060"/>
            </w:tabs>
            <w:rPr>
              <w:rFonts w:hint="eastAsia" w:ascii="仿宋" w:hAnsi="仿宋" w:eastAsia="仿宋" w:cs="仿宋"/>
              <w:kern w:val="2"/>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"_Toc103005266" </w:instrText>
          </w:r>
          <w:r>
            <w:rPr>
              <w:rFonts w:hint="eastAsia" w:ascii="仿宋" w:hAnsi="仿宋" w:eastAsia="仿宋" w:cs="仿宋"/>
              <w:sz w:val="24"/>
              <w:szCs w:val="24"/>
            </w:rPr>
            <w:fldChar w:fldCharType="separate"/>
          </w:r>
          <w:r>
            <w:rPr>
              <w:rStyle w:val="12"/>
              <w:rFonts w:hint="eastAsia" w:ascii="仿宋" w:hAnsi="仿宋" w:eastAsia="仿宋" w:cs="仿宋"/>
              <w:sz w:val="24"/>
              <w:szCs w:val="24"/>
            </w:rPr>
            <w:t>2.1 师资结构</w:t>
          </w:r>
          <w:r>
            <w:rPr>
              <w:rFonts w:hint="eastAsia" w:ascii="仿宋" w:hAnsi="仿宋" w:eastAsia="仿宋" w:cs="仿宋"/>
              <w:sz w:val="24"/>
              <w:szCs w:val="24"/>
            </w:rPr>
            <w:tab/>
          </w:r>
          <w:r>
            <w:rPr>
              <w:rFonts w:hint="eastAsia" w:ascii="仿宋" w:hAnsi="仿宋" w:eastAsia="仿宋" w:cs="仿宋"/>
              <w:sz w:val="24"/>
              <w:szCs w:val="24"/>
              <w:lang w:val="en-US" w:eastAsia="zh-CN"/>
            </w:rPr>
            <w:t>6</w:t>
          </w:r>
          <w:r>
            <w:rPr>
              <w:rFonts w:hint="eastAsia" w:ascii="仿宋" w:hAnsi="仿宋" w:eastAsia="仿宋" w:cs="仿宋"/>
              <w:sz w:val="24"/>
              <w:szCs w:val="24"/>
            </w:rPr>
            <w:fldChar w:fldCharType="end"/>
          </w:r>
        </w:p>
        <w:p>
          <w:pPr>
            <w:pStyle w:val="9"/>
            <w:tabs>
              <w:tab w:val="right" w:leader="dot" w:pos="9060"/>
            </w:tabs>
            <w:rPr>
              <w:rFonts w:hint="eastAsia" w:ascii="仿宋" w:hAnsi="仿宋" w:eastAsia="仿宋" w:cs="仿宋"/>
              <w:kern w:val="2"/>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"_Toc103005267" </w:instrText>
          </w:r>
          <w:r>
            <w:rPr>
              <w:rFonts w:hint="eastAsia" w:ascii="仿宋" w:hAnsi="仿宋" w:eastAsia="仿宋" w:cs="仿宋"/>
              <w:sz w:val="24"/>
              <w:szCs w:val="24"/>
            </w:rPr>
            <w:fldChar w:fldCharType="separate"/>
          </w:r>
          <w:r>
            <w:rPr>
              <w:rStyle w:val="12"/>
              <w:rFonts w:hint="eastAsia" w:ascii="仿宋" w:hAnsi="仿宋" w:eastAsia="仿宋" w:cs="仿宋"/>
              <w:sz w:val="24"/>
              <w:szCs w:val="24"/>
            </w:rPr>
            <w:t>2.2 教学、科研水平</w:t>
          </w:r>
          <w:r>
            <w:rPr>
              <w:rFonts w:hint="eastAsia" w:ascii="仿宋" w:hAnsi="仿宋" w:eastAsia="仿宋" w:cs="仿宋"/>
              <w:sz w:val="24"/>
              <w:szCs w:val="24"/>
            </w:rPr>
            <w:tab/>
          </w:r>
          <w:r>
            <w:rPr>
              <w:rFonts w:hint="eastAsia" w:ascii="仿宋" w:hAnsi="仿宋" w:eastAsia="仿宋" w:cs="仿宋"/>
              <w:sz w:val="24"/>
              <w:szCs w:val="24"/>
              <w:lang w:val="en-US" w:eastAsia="zh-CN"/>
            </w:rPr>
            <w:t>8</w:t>
          </w:r>
          <w:r>
            <w:rPr>
              <w:rFonts w:hint="eastAsia" w:ascii="仿宋" w:hAnsi="仿宋" w:eastAsia="仿宋" w:cs="仿宋"/>
              <w:sz w:val="24"/>
              <w:szCs w:val="24"/>
            </w:rPr>
            <w:fldChar w:fldCharType="end"/>
          </w:r>
        </w:p>
        <w:p>
          <w:pPr>
            <w:pStyle w:val="9"/>
            <w:tabs>
              <w:tab w:val="right" w:leader="dot" w:pos="9060"/>
            </w:tabs>
            <w:rPr>
              <w:rFonts w:hint="eastAsia" w:ascii="仿宋" w:hAnsi="仿宋" w:eastAsia="仿宋" w:cs="仿宋"/>
              <w:kern w:val="2"/>
              <w:sz w:val="24"/>
              <w:szCs w:val="24"/>
              <w:lang w:val="en-US" w:eastAsia="zh-CN"/>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"_Toc103005268" </w:instrText>
          </w:r>
          <w:r>
            <w:rPr>
              <w:rFonts w:hint="eastAsia" w:ascii="仿宋" w:hAnsi="仿宋" w:eastAsia="仿宋" w:cs="仿宋"/>
              <w:sz w:val="24"/>
              <w:szCs w:val="24"/>
            </w:rPr>
            <w:fldChar w:fldCharType="separate"/>
          </w:r>
          <w:r>
            <w:rPr>
              <w:rStyle w:val="12"/>
              <w:rFonts w:hint="eastAsia" w:ascii="仿宋" w:hAnsi="仿宋" w:eastAsia="仿宋" w:cs="仿宋"/>
              <w:sz w:val="24"/>
              <w:szCs w:val="24"/>
            </w:rPr>
            <w:t>2.3 师资队伍建设</w:t>
          </w:r>
          <w:r>
            <w:rPr>
              <w:rFonts w:hint="eastAsia" w:ascii="仿宋" w:hAnsi="仿宋" w:eastAsia="仿宋" w:cs="仿宋"/>
              <w:sz w:val="24"/>
              <w:szCs w:val="24"/>
            </w:rPr>
            <w:tab/>
          </w:r>
          <w:r>
            <w:rPr>
              <w:rFonts w:hint="eastAsia" w:ascii="仿宋" w:hAnsi="仿宋" w:eastAsia="仿宋" w:cs="仿宋"/>
              <w:sz w:val="24"/>
              <w:szCs w:val="24"/>
              <w:lang w:val="en-US" w:eastAsia="zh-CN"/>
            </w:rPr>
            <w:t>1</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0</w:t>
          </w:r>
        </w:p>
        <w:p>
          <w:pPr>
            <w:pStyle w:val="8"/>
            <w:tabs>
              <w:tab w:val="right" w:leader="dot" w:pos="9060"/>
            </w:tabs>
            <w:rPr>
              <w:rFonts w:hint="eastAsia" w:ascii="宋体" w:hAnsi="宋体" w:eastAsia="宋体"/>
              <w:kern w:val="2"/>
              <w:sz w:val="24"/>
              <w:szCs w:val="24"/>
              <w:lang w:val="en-US" w:eastAsia="zh-CN"/>
            </w:rPr>
          </w:pPr>
          <w:r>
            <w:rPr>
              <w:rFonts w:hint="eastAsia" w:ascii="黑体" w:hAnsi="黑体" w:eastAsia="黑体" w:cs="黑体"/>
            </w:rPr>
            <w:fldChar w:fldCharType="begin"/>
          </w:r>
          <w:r>
            <w:rPr>
              <w:rFonts w:hint="eastAsia" w:ascii="黑体" w:hAnsi="黑体" w:eastAsia="黑体" w:cs="黑体"/>
            </w:rPr>
            <w:instrText xml:space="preserve"> HYPERLINK \l "_Toc103005269" </w:instrText>
          </w:r>
          <w:r>
            <w:rPr>
              <w:rFonts w:hint="eastAsia" w:ascii="黑体" w:hAnsi="黑体" w:eastAsia="黑体" w:cs="黑体"/>
            </w:rPr>
            <w:fldChar w:fldCharType="separate"/>
          </w:r>
          <w:r>
            <w:rPr>
              <w:rStyle w:val="12"/>
              <w:rFonts w:hint="eastAsia" w:ascii="黑体" w:hAnsi="黑体" w:eastAsia="黑体" w:cs="黑体"/>
              <w:b/>
              <w:sz w:val="24"/>
              <w:szCs w:val="24"/>
            </w:rPr>
            <w:t>3 教学工作</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1</w:t>
          </w:r>
        </w:p>
        <w:p>
          <w:pPr>
            <w:pStyle w:val="9"/>
            <w:tabs>
              <w:tab w:val="right" w:leader="dot" w:pos="9060"/>
            </w:tabs>
            <w:rPr>
              <w:rFonts w:hint="eastAsia" w:ascii="仿宋" w:hAnsi="仿宋" w:eastAsia="仿宋" w:cs="仿宋"/>
              <w:kern w:val="2"/>
              <w:sz w:val="24"/>
              <w:szCs w:val="24"/>
              <w:lang w:val="en-US" w:eastAsia="zh-CN"/>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"_Toc103005270" </w:instrText>
          </w:r>
          <w:r>
            <w:rPr>
              <w:rFonts w:hint="eastAsia" w:ascii="仿宋" w:hAnsi="仿宋" w:eastAsia="仿宋" w:cs="仿宋"/>
              <w:sz w:val="24"/>
              <w:szCs w:val="24"/>
            </w:rPr>
            <w:fldChar w:fldCharType="separate"/>
          </w:r>
          <w:r>
            <w:rPr>
              <w:rStyle w:val="12"/>
              <w:rFonts w:hint="eastAsia" w:ascii="仿宋" w:hAnsi="仿宋" w:eastAsia="仿宋" w:cs="仿宋"/>
              <w:sz w:val="24"/>
              <w:szCs w:val="24"/>
            </w:rPr>
            <w:t>3.1 教学计划</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11</w:t>
          </w:r>
        </w:p>
        <w:p>
          <w:pPr>
            <w:pStyle w:val="9"/>
            <w:tabs>
              <w:tab w:val="right" w:leader="dot" w:pos="9060"/>
            </w:tabs>
            <w:rPr>
              <w:rFonts w:hint="eastAsia" w:ascii="仿宋" w:hAnsi="仿宋" w:eastAsia="仿宋" w:cs="仿宋"/>
              <w:kern w:val="2"/>
              <w:sz w:val="24"/>
              <w:szCs w:val="24"/>
              <w:lang w:val="en-US" w:eastAsia="zh-CN"/>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"_Toc103005271" </w:instrText>
          </w:r>
          <w:r>
            <w:rPr>
              <w:rFonts w:hint="eastAsia" w:ascii="仿宋" w:hAnsi="仿宋" w:eastAsia="仿宋" w:cs="仿宋"/>
              <w:sz w:val="24"/>
              <w:szCs w:val="24"/>
            </w:rPr>
            <w:fldChar w:fldCharType="separate"/>
          </w:r>
          <w:r>
            <w:rPr>
              <w:rStyle w:val="12"/>
              <w:rFonts w:hint="eastAsia" w:ascii="仿宋" w:hAnsi="仿宋" w:eastAsia="仿宋" w:cs="仿宋"/>
              <w:sz w:val="24"/>
              <w:szCs w:val="24"/>
            </w:rPr>
            <w:t>3.2 课程建设</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12</w:t>
          </w:r>
        </w:p>
        <w:p>
          <w:pPr>
            <w:pStyle w:val="9"/>
            <w:tabs>
              <w:tab w:val="right" w:leader="dot" w:pos="9060"/>
            </w:tabs>
            <w:rPr>
              <w:rFonts w:hint="eastAsia" w:ascii="仿宋" w:hAnsi="仿宋" w:eastAsia="仿宋" w:cs="仿宋"/>
              <w:kern w:val="2"/>
              <w:sz w:val="24"/>
              <w:szCs w:val="24"/>
              <w:lang w:val="en-US" w:eastAsia="zh-CN"/>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"_Toc103005272" </w:instrText>
          </w:r>
          <w:r>
            <w:rPr>
              <w:rFonts w:hint="eastAsia" w:ascii="仿宋" w:hAnsi="仿宋" w:eastAsia="仿宋" w:cs="仿宋"/>
              <w:sz w:val="24"/>
              <w:szCs w:val="24"/>
            </w:rPr>
            <w:fldChar w:fldCharType="separate"/>
          </w:r>
          <w:r>
            <w:rPr>
              <w:rStyle w:val="12"/>
              <w:rFonts w:hint="eastAsia" w:ascii="仿宋" w:hAnsi="仿宋" w:eastAsia="仿宋" w:cs="仿宋"/>
              <w:sz w:val="24"/>
              <w:szCs w:val="24"/>
            </w:rPr>
            <w:t>3.3 实践教学环节</w:t>
          </w:r>
          <w:r>
            <w:rPr>
              <w:rFonts w:hint="eastAsia" w:ascii="仿宋" w:hAnsi="仿宋" w:eastAsia="仿宋" w:cs="仿宋"/>
              <w:sz w:val="24"/>
              <w:szCs w:val="24"/>
            </w:rPr>
            <w:tab/>
          </w:r>
          <w:r>
            <w:rPr>
              <w:rFonts w:hint="eastAsia" w:ascii="仿宋" w:hAnsi="仿宋" w:eastAsia="仿宋" w:cs="仿宋"/>
              <w:sz w:val="24"/>
              <w:szCs w:val="24"/>
              <w:lang w:val="en-US" w:eastAsia="zh-CN"/>
            </w:rPr>
            <w:t>1</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4</w:t>
          </w:r>
        </w:p>
        <w:p>
          <w:pPr>
            <w:pStyle w:val="9"/>
            <w:tabs>
              <w:tab w:val="right" w:leader="dot" w:pos="9060"/>
            </w:tabs>
            <w:rPr>
              <w:rFonts w:hint="eastAsia" w:ascii="仿宋" w:hAnsi="仿宋" w:eastAsia="仿宋" w:cs="仿宋"/>
              <w:kern w:val="2"/>
              <w:sz w:val="24"/>
              <w:szCs w:val="24"/>
              <w:lang w:val="en-US" w:eastAsia="zh-CN"/>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"_Toc103005273" </w:instrText>
          </w:r>
          <w:r>
            <w:rPr>
              <w:rFonts w:hint="eastAsia" w:ascii="仿宋" w:hAnsi="仿宋" w:eastAsia="仿宋" w:cs="仿宋"/>
              <w:sz w:val="24"/>
              <w:szCs w:val="24"/>
            </w:rPr>
            <w:fldChar w:fldCharType="separate"/>
          </w:r>
          <w:r>
            <w:rPr>
              <w:rStyle w:val="12"/>
              <w:rFonts w:hint="eastAsia" w:ascii="仿宋" w:hAnsi="仿宋" w:eastAsia="仿宋" w:cs="仿宋"/>
              <w:sz w:val="24"/>
              <w:szCs w:val="24"/>
            </w:rPr>
            <w:t>3.4 毕业论文指导</w:t>
          </w:r>
          <w:r>
            <w:rPr>
              <w:rFonts w:hint="eastAsia" w:ascii="仿宋" w:hAnsi="仿宋" w:eastAsia="仿宋" w:cs="仿宋"/>
              <w:sz w:val="24"/>
              <w:szCs w:val="24"/>
            </w:rPr>
            <w:tab/>
          </w:r>
          <w:r>
            <w:rPr>
              <w:rFonts w:hint="eastAsia" w:ascii="仿宋" w:hAnsi="仿宋" w:eastAsia="仿宋" w:cs="仿宋"/>
              <w:sz w:val="24"/>
              <w:szCs w:val="24"/>
              <w:lang w:val="en-US" w:eastAsia="zh-CN"/>
            </w:rPr>
            <w:t>1</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4</w:t>
          </w:r>
        </w:p>
        <w:p>
          <w:pPr>
            <w:pStyle w:val="9"/>
            <w:tabs>
              <w:tab w:val="right" w:leader="dot" w:pos="9060"/>
            </w:tabs>
            <w:rPr>
              <w:rFonts w:hint="eastAsia" w:ascii="仿宋" w:hAnsi="仿宋" w:eastAsia="仿宋" w:cs="仿宋"/>
              <w:kern w:val="2"/>
              <w:sz w:val="24"/>
              <w:szCs w:val="24"/>
              <w:lang w:val="en-US" w:eastAsia="zh-CN"/>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"_Toc103005274" </w:instrText>
          </w:r>
          <w:r>
            <w:rPr>
              <w:rFonts w:hint="eastAsia" w:ascii="仿宋" w:hAnsi="仿宋" w:eastAsia="仿宋" w:cs="仿宋"/>
              <w:sz w:val="24"/>
              <w:szCs w:val="24"/>
            </w:rPr>
            <w:fldChar w:fldCharType="separate"/>
          </w:r>
          <w:r>
            <w:rPr>
              <w:rStyle w:val="12"/>
              <w:rFonts w:hint="eastAsia" w:ascii="仿宋" w:hAnsi="仿宋" w:eastAsia="仿宋" w:cs="仿宋"/>
              <w:sz w:val="24"/>
              <w:szCs w:val="24"/>
            </w:rPr>
            <w:t>3.5 教学改革</w:t>
          </w:r>
          <w:r>
            <w:rPr>
              <w:rFonts w:hint="eastAsia" w:ascii="仿宋" w:hAnsi="仿宋" w:eastAsia="仿宋" w:cs="仿宋"/>
              <w:sz w:val="24"/>
              <w:szCs w:val="24"/>
            </w:rPr>
            <w:tab/>
          </w:r>
          <w:r>
            <w:rPr>
              <w:rFonts w:hint="eastAsia" w:ascii="仿宋" w:hAnsi="仿宋" w:eastAsia="仿宋" w:cs="仿宋"/>
              <w:sz w:val="24"/>
              <w:szCs w:val="24"/>
              <w:lang w:val="en-US" w:eastAsia="zh-CN"/>
            </w:rPr>
            <w:t>1</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5</w:t>
          </w:r>
        </w:p>
        <w:p>
          <w:pPr>
            <w:pStyle w:val="8"/>
            <w:tabs>
              <w:tab w:val="right" w:leader="dot" w:pos="9060"/>
            </w:tabs>
            <w:rPr>
              <w:rFonts w:hint="eastAsia" w:ascii="宋体" w:hAnsi="宋体" w:eastAsia="宋体"/>
              <w:kern w:val="2"/>
              <w:sz w:val="24"/>
              <w:szCs w:val="24"/>
              <w:lang w:val="en-US" w:eastAsia="zh-CN"/>
            </w:rPr>
          </w:pPr>
          <w:r>
            <w:rPr>
              <w:rFonts w:hint="eastAsia" w:ascii="黑体" w:hAnsi="黑体" w:eastAsia="黑体" w:cs="黑体"/>
            </w:rPr>
            <w:fldChar w:fldCharType="begin"/>
          </w:r>
          <w:r>
            <w:rPr>
              <w:rFonts w:hint="eastAsia" w:ascii="黑体" w:hAnsi="黑体" w:eastAsia="黑体" w:cs="黑体"/>
            </w:rPr>
            <w:instrText xml:space="preserve"> HYPERLINK \l "_Toc103005275" </w:instrText>
          </w:r>
          <w:r>
            <w:rPr>
              <w:rFonts w:hint="eastAsia" w:ascii="黑体" w:hAnsi="黑体" w:eastAsia="黑体" w:cs="黑体"/>
            </w:rPr>
            <w:fldChar w:fldCharType="separate"/>
          </w:r>
          <w:r>
            <w:rPr>
              <w:rStyle w:val="12"/>
              <w:rFonts w:hint="eastAsia" w:ascii="黑体" w:hAnsi="黑体" w:eastAsia="黑体" w:cs="黑体"/>
              <w:b/>
              <w:sz w:val="24"/>
              <w:szCs w:val="24"/>
            </w:rPr>
            <w:t>4 教学条件</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9</w:t>
          </w:r>
        </w:p>
        <w:p>
          <w:pPr>
            <w:pStyle w:val="9"/>
            <w:tabs>
              <w:tab w:val="right" w:leader="dot" w:pos="9060"/>
            </w:tabs>
            <w:rPr>
              <w:rFonts w:hint="eastAsia" w:ascii="仿宋" w:hAnsi="仿宋" w:eastAsia="仿宋" w:cs="仿宋"/>
              <w:kern w:val="2"/>
              <w:sz w:val="24"/>
              <w:szCs w:val="24"/>
              <w:lang w:val="en-US" w:eastAsia="zh-CN"/>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"_Toc103005276" </w:instrText>
          </w:r>
          <w:r>
            <w:rPr>
              <w:rFonts w:hint="eastAsia" w:ascii="仿宋" w:hAnsi="仿宋" w:eastAsia="仿宋" w:cs="仿宋"/>
              <w:sz w:val="24"/>
              <w:szCs w:val="24"/>
            </w:rPr>
            <w:fldChar w:fldCharType="separate"/>
          </w:r>
          <w:r>
            <w:rPr>
              <w:rStyle w:val="12"/>
              <w:rFonts w:hint="eastAsia" w:ascii="仿宋" w:hAnsi="仿宋" w:eastAsia="仿宋" w:cs="仿宋"/>
              <w:sz w:val="24"/>
              <w:szCs w:val="24"/>
            </w:rPr>
            <w:t>4.1 仪器设备</w:t>
          </w:r>
          <w:r>
            <w:rPr>
              <w:rFonts w:hint="eastAsia" w:ascii="仿宋" w:hAnsi="仿宋" w:eastAsia="仿宋" w:cs="仿宋"/>
              <w:sz w:val="24"/>
              <w:szCs w:val="24"/>
            </w:rPr>
            <w:tab/>
          </w:r>
          <w:r>
            <w:rPr>
              <w:rFonts w:hint="eastAsia" w:ascii="仿宋" w:hAnsi="仿宋" w:eastAsia="仿宋" w:cs="仿宋"/>
              <w:sz w:val="24"/>
              <w:szCs w:val="24"/>
              <w:lang w:val="en-US" w:eastAsia="zh-CN"/>
            </w:rPr>
            <w:t>1</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9</w:t>
          </w:r>
        </w:p>
        <w:p>
          <w:pPr>
            <w:pStyle w:val="9"/>
            <w:tabs>
              <w:tab w:val="right" w:leader="dot" w:pos="9060"/>
            </w:tabs>
            <w:rPr>
              <w:rFonts w:hint="eastAsia" w:ascii="仿宋" w:hAnsi="仿宋" w:eastAsia="仿宋" w:cs="仿宋"/>
              <w:kern w:val="2"/>
              <w:sz w:val="24"/>
              <w:szCs w:val="24"/>
              <w:lang w:val="en-US" w:eastAsia="zh-CN"/>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"_Toc103005277" </w:instrText>
          </w:r>
          <w:r>
            <w:rPr>
              <w:rFonts w:hint="eastAsia" w:ascii="仿宋" w:hAnsi="仿宋" w:eastAsia="仿宋" w:cs="仿宋"/>
              <w:sz w:val="24"/>
              <w:szCs w:val="24"/>
            </w:rPr>
            <w:fldChar w:fldCharType="separate"/>
          </w:r>
          <w:r>
            <w:rPr>
              <w:rStyle w:val="12"/>
              <w:rFonts w:hint="eastAsia" w:ascii="仿宋" w:hAnsi="仿宋" w:eastAsia="仿宋" w:cs="仿宋"/>
              <w:sz w:val="24"/>
              <w:szCs w:val="24"/>
            </w:rPr>
            <w:t>4.2 图书资料</w:t>
          </w:r>
          <w:r>
            <w:rPr>
              <w:rFonts w:hint="eastAsia" w:ascii="仿宋" w:hAnsi="仿宋" w:eastAsia="仿宋" w:cs="仿宋"/>
              <w:sz w:val="24"/>
              <w:szCs w:val="24"/>
            </w:rPr>
            <w:tab/>
          </w:r>
          <w:r>
            <w:rPr>
              <w:rFonts w:hint="eastAsia" w:ascii="仿宋" w:hAnsi="仿宋" w:eastAsia="仿宋" w:cs="仿宋"/>
              <w:sz w:val="24"/>
              <w:szCs w:val="24"/>
              <w:lang w:val="en-US" w:eastAsia="zh-CN"/>
            </w:rPr>
            <w:t>1</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9</w:t>
          </w:r>
        </w:p>
        <w:p>
          <w:pPr>
            <w:pStyle w:val="9"/>
            <w:tabs>
              <w:tab w:val="right" w:leader="dot" w:pos="9060"/>
            </w:tabs>
            <w:rPr>
              <w:rFonts w:hint="eastAsia" w:ascii="仿宋" w:hAnsi="仿宋" w:eastAsia="仿宋" w:cs="仿宋"/>
              <w:kern w:val="2"/>
              <w:sz w:val="24"/>
              <w:szCs w:val="24"/>
              <w:lang w:val="en-US" w:eastAsia="zh-CN"/>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"_Toc103005278" </w:instrText>
          </w:r>
          <w:r>
            <w:rPr>
              <w:rFonts w:hint="eastAsia" w:ascii="仿宋" w:hAnsi="仿宋" w:eastAsia="仿宋" w:cs="仿宋"/>
              <w:sz w:val="24"/>
              <w:szCs w:val="24"/>
            </w:rPr>
            <w:fldChar w:fldCharType="separate"/>
          </w:r>
          <w:r>
            <w:rPr>
              <w:rStyle w:val="12"/>
              <w:rFonts w:hint="eastAsia" w:ascii="仿宋" w:hAnsi="仿宋" w:eastAsia="仿宋" w:cs="仿宋"/>
              <w:sz w:val="24"/>
              <w:szCs w:val="24"/>
            </w:rPr>
            <w:t>4.3 培养实践能力的条件和基地</w:t>
          </w:r>
          <w:r>
            <w:rPr>
              <w:rFonts w:hint="eastAsia" w:ascii="仿宋" w:hAnsi="仿宋" w:eastAsia="仿宋" w:cs="仿宋"/>
              <w:sz w:val="24"/>
              <w:szCs w:val="24"/>
            </w:rPr>
            <w:tab/>
          </w:r>
          <w:r>
            <w:rPr>
              <w:rFonts w:hint="eastAsia" w:ascii="仿宋" w:hAnsi="仿宋" w:eastAsia="仿宋" w:cs="仿宋"/>
              <w:sz w:val="24"/>
              <w:szCs w:val="24"/>
              <w:lang w:val="en-US" w:eastAsia="zh-CN"/>
            </w:rPr>
            <w:t>2</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0</w:t>
          </w:r>
        </w:p>
        <w:p>
          <w:pPr>
            <w:pStyle w:val="9"/>
            <w:tabs>
              <w:tab w:val="right" w:leader="dot" w:pos="9060"/>
            </w:tabs>
            <w:rPr>
              <w:rFonts w:hint="eastAsia" w:ascii="仿宋" w:hAnsi="仿宋" w:eastAsia="仿宋" w:cs="仿宋"/>
              <w:kern w:val="2"/>
              <w:sz w:val="24"/>
              <w:szCs w:val="24"/>
              <w:lang w:val="en-US" w:eastAsia="zh-CN"/>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"_Toc103005279" </w:instrText>
          </w:r>
          <w:r>
            <w:rPr>
              <w:rFonts w:hint="eastAsia" w:ascii="仿宋" w:hAnsi="仿宋" w:eastAsia="仿宋" w:cs="仿宋"/>
              <w:sz w:val="24"/>
              <w:szCs w:val="24"/>
            </w:rPr>
            <w:fldChar w:fldCharType="separate"/>
          </w:r>
          <w:r>
            <w:rPr>
              <w:rStyle w:val="12"/>
              <w:rFonts w:hint="eastAsia" w:ascii="仿宋" w:hAnsi="仿宋" w:eastAsia="仿宋" w:cs="仿宋"/>
              <w:sz w:val="24"/>
              <w:szCs w:val="24"/>
            </w:rPr>
            <w:t>4.4 教学经费投入</w:t>
          </w:r>
          <w:r>
            <w:rPr>
              <w:rFonts w:hint="eastAsia" w:ascii="仿宋" w:hAnsi="仿宋" w:eastAsia="仿宋" w:cs="仿宋"/>
              <w:sz w:val="24"/>
              <w:szCs w:val="24"/>
            </w:rPr>
            <w:tab/>
          </w:r>
          <w:r>
            <w:rPr>
              <w:rFonts w:hint="eastAsia" w:ascii="仿宋" w:hAnsi="仿宋" w:eastAsia="仿宋" w:cs="仿宋"/>
              <w:sz w:val="24"/>
              <w:szCs w:val="24"/>
              <w:lang w:val="en-US" w:eastAsia="zh-CN"/>
            </w:rPr>
            <w:t>2</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1</w:t>
          </w:r>
        </w:p>
        <w:p>
          <w:pPr>
            <w:pStyle w:val="8"/>
            <w:tabs>
              <w:tab w:val="right" w:leader="dot" w:pos="9060"/>
            </w:tabs>
            <w:rPr>
              <w:rFonts w:hint="eastAsia" w:ascii="宋体" w:hAnsi="宋体" w:eastAsia="宋体"/>
              <w:kern w:val="2"/>
              <w:sz w:val="24"/>
              <w:szCs w:val="24"/>
              <w:lang w:val="en-US" w:eastAsia="zh-CN"/>
            </w:rPr>
          </w:pPr>
          <w:r>
            <w:rPr>
              <w:rFonts w:hint="eastAsia" w:ascii="黑体" w:hAnsi="黑体" w:eastAsia="黑体" w:cs="黑体"/>
            </w:rPr>
            <w:fldChar w:fldCharType="begin"/>
          </w:r>
          <w:r>
            <w:rPr>
              <w:rFonts w:hint="eastAsia" w:ascii="黑体" w:hAnsi="黑体" w:eastAsia="黑体" w:cs="黑体"/>
            </w:rPr>
            <w:instrText xml:space="preserve"> HYPERLINK \l "_Toc103005280" </w:instrText>
          </w:r>
          <w:r>
            <w:rPr>
              <w:rFonts w:hint="eastAsia" w:ascii="黑体" w:hAnsi="黑体" w:eastAsia="黑体" w:cs="黑体"/>
            </w:rPr>
            <w:fldChar w:fldCharType="separate"/>
          </w:r>
          <w:r>
            <w:rPr>
              <w:rStyle w:val="12"/>
              <w:rFonts w:hint="eastAsia" w:ascii="黑体" w:hAnsi="黑体" w:eastAsia="黑体" w:cs="黑体"/>
              <w:b/>
              <w:sz w:val="24"/>
              <w:szCs w:val="24"/>
            </w:rPr>
            <w:t>5 应届毕业生情况</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2</w:t>
          </w:r>
        </w:p>
        <w:p>
          <w:pPr>
            <w:pStyle w:val="9"/>
            <w:tabs>
              <w:tab w:val="right" w:leader="dot" w:pos="9060"/>
            </w:tabs>
            <w:rPr>
              <w:rFonts w:hint="eastAsia" w:ascii="仿宋" w:hAnsi="仿宋" w:eastAsia="仿宋" w:cs="仿宋"/>
              <w:kern w:val="2"/>
              <w:sz w:val="24"/>
              <w:szCs w:val="24"/>
              <w:lang w:val="en-US" w:eastAsia="zh-CN"/>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"_Toc103005281" </w:instrText>
          </w:r>
          <w:r>
            <w:rPr>
              <w:rFonts w:hint="eastAsia" w:ascii="仿宋" w:hAnsi="仿宋" w:eastAsia="仿宋" w:cs="仿宋"/>
              <w:sz w:val="24"/>
              <w:szCs w:val="24"/>
            </w:rPr>
            <w:fldChar w:fldCharType="separate"/>
          </w:r>
          <w:r>
            <w:rPr>
              <w:rStyle w:val="12"/>
              <w:rFonts w:hint="eastAsia" w:ascii="仿宋" w:hAnsi="仿宋" w:eastAsia="仿宋" w:cs="仿宋"/>
              <w:sz w:val="24"/>
              <w:szCs w:val="24"/>
            </w:rPr>
            <w:t>5.1基本理论与基本技能</w:t>
          </w:r>
          <w:r>
            <w:rPr>
              <w:rFonts w:hint="eastAsia" w:ascii="仿宋" w:hAnsi="仿宋" w:eastAsia="仿宋" w:cs="仿宋"/>
              <w:sz w:val="24"/>
              <w:szCs w:val="24"/>
            </w:rPr>
            <w:tab/>
          </w:r>
          <w:r>
            <w:rPr>
              <w:rFonts w:hint="eastAsia" w:ascii="仿宋" w:hAnsi="仿宋" w:eastAsia="仿宋" w:cs="仿宋"/>
              <w:sz w:val="24"/>
              <w:szCs w:val="24"/>
              <w:lang w:val="en-US" w:eastAsia="zh-CN"/>
            </w:rPr>
            <w:t>2</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2</w:t>
          </w:r>
        </w:p>
        <w:p>
          <w:pPr>
            <w:pStyle w:val="9"/>
            <w:tabs>
              <w:tab w:val="right" w:leader="dot" w:pos="9060"/>
            </w:tabs>
            <w:rPr>
              <w:rFonts w:hint="eastAsia" w:ascii="仿宋" w:hAnsi="仿宋" w:eastAsia="仿宋" w:cs="仿宋"/>
              <w:kern w:val="2"/>
              <w:sz w:val="24"/>
              <w:szCs w:val="24"/>
              <w:lang w:val="en-US" w:eastAsia="zh-CN"/>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"_Toc103005282" </w:instrText>
          </w:r>
          <w:r>
            <w:rPr>
              <w:rFonts w:hint="eastAsia" w:ascii="仿宋" w:hAnsi="仿宋" w:eastAsia="仿宋" w:cs="仿宋"/>
              <w:sz w:val="24"/>
              <w:szCs w:val="24"/>
            </w:rPr>
            <w:fldChar w:fldCharType="separate"/>
          </w:r>
          <w:r>
            <w:rPr>
              <w:rStyle w:val="12"/>
              <w:rFonts w:hint="eastAsia" w:ascii="仿宋" w:hAnsi="仿宋" w:eastAsia="仿宋" w:cs="仿宋"/>
              <w:sz w:val="24"/>
              <w:szCs w:val="24"/>
            </w:rPr>
            <w:t>5.2 实习、社会实践、毕业论文</w:t>
          </w:r>
          <w:r>
            <w:rPr>
              <w:rFonts w:hint="eastAsia" w:ascii="仿宋" w:hAnsi="仿宋" w:eastAsia="仿宋" w:cs="仿宋"/>
              <w:sz w:val="24"/>
              <w:szCs w:val="24"/>
            </w:rPr>
            <w:tab/>
          </w:r>
          <w:r>
            <w:rPr>
              <w:rFonts w:hint="eastAsia" w:ascii="仿宋" w:hAnsi="仿宋" w:eastAsia="仿宋" w:cs="仿宋"/>
              <w:sz w:val="24"/>
              <w:szCs w:val="24"/>
              <w:lang w:val="en-US" w:eastAsia="zh-CN"/>
            </w:rPr>
            <w:t>2</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3</w:t>
          </w:r>
        </w:p>
        <w:p>
          <w:pPr>
            <w:pStyle w:val="9"/>
            <w:tabs>
              <w:tab w:val="right" w:leader="dot" w:pos="9060"/>
            </w:tabs>
            <w:rPr>
              <w:rFonts w:hint="eastAsia" w:ascii="仿宋" w:hAnsi="仿宋" w:eastAsia="仿宋" w:cs="仿宋"/>
              <w:kern w:val="2"/>
              <w:sz w:val="24"/>
              <w:szCs w:val="24"/>
              <w:lang w:val="en-US" w:eastAsia="zh-CN"/>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"_Toc103005283" </w:instrText>
          </w:r>
          <w:r>
            <w:rPr>
              <w:rFonts w:hint="eastAsia" w:ascii="仿宋" w:hAnsi="仿宋" w:eastAsia="仿宋" w:cs="仿宋"/>
              <w:sz w:val="24"/>
              <w:szCs w:val="24"/>
            </w:rPr>
            <w:fldChar w:fldCharType="separate"/>
          </w:r>
          <w:r>
            <w:rPr>
              <w:rStyle w:val="12"/>
              <w:rFonts w:hint="eastAsia" w:ascii="仿宋" w:hAnsi="仿宋" w:eastAsia="仿宋" w:cs="仿宋"/>
              <w:sz w:val="24"/>
              <w:szCs w:val="24"/>
            </w:rPr>
            <w:t>5.3 学生表现</w:t>
          </w:r>
          <w:r>
            <w:rPr>
              <w:rFonts w:hint="eastAsia" w:ascii="仿宋" w:hAnsi="仿宋" w:eastAsia="仿宋" w:cs="仿宋"/>
              <w:sz w:val="24"/>
              <w:szCs w:val="24"/>
            </w:rPr>
            <w:tab/>
          </w:r>
          <w:r>
            <w:rPr>
              <w:rFonts w:hint="eastAsia" w:ascii="仿宋" w:hAnsi="仿宋" w:eastAsia="仿宋" w:cs="仿宋"/>
              <w:sz w:val="24"/>
              <w:szCs w:val="24"/>
              <w:lang w:val="en-US" w:eastAsia="zh-CN"/>
            </w:rPr>
            <w:t>2</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5</w:t>
          </w:r>
        </w:p>
        <w:p>
          <w:pPr>
            <w:pStyle w:val="8"/>
            <w:tabs>
              <w:tab w:val="right" w:leader="dot" w:pos="9060"/>
            </w:tabs>
            <w:rPr>
              <w:rFonts w:hint="eastAsia" w:ascii="黑体" w:hAnsi="黑体" w:eastAsia="黑体" w:cs="黑体"/>
              <w:kern w:val="2"/>
              <w:sz w:val="24"/>
              <w:szCs w:val="24"/>
              <w:lang w:val="en-US" w:eastAsia="zh-CN"/>
            </w:rPr>
          </w:pPr>
          <w:r>
            <w:rPr>
              <w:rFonts w:hint="eastAsia" w:ascii="黑体" w:hAnsi="黑体" w:eastAsia="黑体" w:cs="黑体"/>
            </w:rPr>
            <w:fldChar w:fldCharType="begin"/>
          </w:r>
          <w:r>
            <w:rPr>
              <w:rFonts w:hint="eastAsia" w:ascii="黑体" w:hAnsi="黑体" w:eastAsia="黑体" w:cs="黑体"/>
            </w:rPr>
            <w:instrText xml:space="preserve"> HYPERLINK \l "_Toc103005284" </w:instrText>
          </w:r>
          <w:r>
            <w:rPr>
              <w:rFonts w:hint="eastAsia" w:ascii="黑体" w:hAnsi="黑体" w:eastAsia="黑体" w:cs="黑体"/>
            </w:rPr>
            <w:fldChar w:fldCharType="separate"/>
          </w:r>
          <w:r>
            <w:rPr>
              <w:rStyle w:val="12"/>
              <w:rFonts w:hint="eastAsia" w:ascii="黑体" w:hAnsi="黑体" w:eastAsia="黑体" w:cs="黑体"/>
              <w:b/>
              <w:sz w:val="24"/>
              <w:szCs w:val="24"/>
            </w:rPr>
            <w:t>6 管理工作</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5</w:t>
          </w:r>
        </w:p>
        <w:p>
          <w:pPr>
            <w:pStyle w:val="9"/>
            <w:tabs>
              <w:tab w:val="right" w:leader="dot" w:pos="9060"/>
            </w:tabs>
            <w:rPr>
              <w:rFonts w:hint="eastAsia" w:ascii="仿宋" w:hAnsi="仿宋" w:eastAsia="仿宋" w:cs="仿宋"/>
              <w:kern w:val="2"/>
              <w:sz w:val="24"/>
              <w:szCs w:val="24"/>
              <w:lang w:val="en-US" w:eastAsia="zh-CN"/>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"_Toc103005285" </w:instrText>
          </w:r>
          <w:r>
            <w:rPr>
              <w:rFonts w:hint="eastAsia" w:ascii="仿宋" w:hAnsi="仿宋" w:eastAsia="仿宋" w:cs="仿宋"/>
              <w:sz w:val="24"/>
              <w:szCs w:val="24"/>
            </w:rPr>
            <w:fldChar w:fldCharType="separate"/>
          </w:r>
          <w:r>
            <w:rPr>
              <w:rStyle w:val="12"/>
              <w:rFonts w:hint="eastAsia" w:ascii="仿宋" w:hAnsi="仿宋" w:eastAsia="仿宋" w:cs="仿宋"/>
              <w:sz w:val="24"/>
              <w:szCs w:val="24"/>
            </w:rPr>
            <w:t>6.1 学科专业建设</w:t>
          </w:r>
          <w:r>
            <w:rPr>
              <w:rFonts w:hint="eastAsia" w:ascii="仿宋" w:hAnsi="仿宋" w:eastAsia="仿宋" w:cs="仿宋"/>
              <w:sz w:val="24"/>
              <w:szCs w:val="24"/>
            </w:rPr>
            <w:tab/>
          </w:r>
          <w:r>
            <w:rPr>
              <w:rFonts w:hint="eastAsia" w:ascii="仿宋" w:hAnsi="仿宋" w:eastAsia="仿宋" w:cs="仿宋"/>
              <w:sz w:val="24"/>
              <w:szCs w:val="24"/>
              <w:lang w:val="en-US" w:eastAsia="zh-CN"/>
            </w:rPr>
            <w:t>2</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5</w:t>
          </w:r>
        </w:p>
        <w:p>
          <w:pPr>
            <w:pStyle w:val="9"/>
            <w:tabs>
              <w:tab w:val="right" w:leader="dot" w:pos="9060"/>
            </w:tabs>
            <w:rPr>
              <w:rFonts w:hint="eastAsia" w:ascii="仿宋" w:hAnsi="仿宋" w:eastAsia="仿宋" w:cs="仿宋"/>
              <w:kern w:val="2"/>
              <w:sz w:val="24"/>
              <w:szCs w:val="24"/>
              <w:lang w:val="en-US" w:eastAsia="zh-CN"/>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"_Toc103005286" </w:instrText>
          </w:r>
          <w:r>
            <w:rPr>
              <w:rFonts w:hint="eastAsia" w:ascii="仿宋" w:hAnsi="仿宋" w:eastAsia="仿宋" w:cs="仿宋"/>
              <w:sz w:val="24"/>
              <w:szCs w:val="24"/>
            </w:rPr>
            <w:fldChar w:fldCharType="separate"/>
          </w:r>
          <w:r>
            <w:rPr>
              <w:rStyle w:val="12"/>
              <w:rFonts w:hint="eastAsia" w:ascii="仿宋" w:hAnsi="仿宋" w:eastAsia="仿宋" w:cs="仿宋"/>
              <w:sz w:val="24"/>
              <w:szCs w:val="24"/>
            </w:rPr>
            <w:t>6.2 教研室建设</w:t>
          </w:r>
          <w:r>
            <w:rPr>
              <w:rFonts w:hint="eastAsia" w:ascii="仿宋" w:hAnsi="仿宋" w:eastAsia="仿宋" w:cs="仿宋"/>
              <w:sz w:val="24"/>
              <w:szCs w:val="24"/>
            </w:rPr>
            <w:tab/>
          </w:r>
          <w:r>
            <w:rPr>
              <w:rFonts w:hint="eastAsia" w:ascii="仿宋" w:hAnsi="仿宋" w:eastAsia="仿宋" w:cs="仿宋"/>
              <w:sz w:val="24"/>
              <w:szCs w:val="24"/>
              <w:lang w:val="en-US" w:eastAsia="zh-CN"/>
            </w:rPr>
            <w:t>2</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6</w:t>
          </w:r>
        </w:p>
        <w:p>
          <w:pPr>
            <w:pStyle w:val="9"/>
            <w:tabs>
              <w:tab w:val="right" w:leader="dot" w:pos="9060"/>
            </w:tabs>
            <w:rPr>
              <w:rFonts w:hint="eastAsia" w:ascii="仿宋" w:hAnsi="仿宋" w:eastAsia="仿宋" w:cs="仿宋"/>
              <w:kern w:val="2"/>
              <w:sz w:val="24"/>
              <w:szCs w:val="24"/>
              <w:lang w:val="en-US" w:eastAsia="zh-CN"/>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"_Toc103005287" </w:instrText>
          </w:r>
          <w:r>
            <w:rPr>
              <w:rFonts w:hint="eastAsia" w:ascii="仿宋" w:hAnsi="仿宋" w:eastAsia="仿宋" w:cs="仿宋"/>
              <w:sz w:val="24"/>
              <w:szCs w:val="24"/>
            </w:rPr>
            <w:fldChar w:fldCharType="separate"/>
          </w:r>
          <w:r>
            <w:rPr>
              <w:rStyle w:val="12"/>
              <w:rFonts w:hint="eastAsia" w:ascii="仿宋" w:hAnsi="仿宋" w:eastAsia="仿宋" w:cs="仿宋"/>
              <w:sz w:val="24"/>
              <w:szCs w:val="24"/>
            </w:rPr>
            <w:t>6.3 教学质量保障</w:t>
          </w:r>
          <w:r>
            <w:rPr>
              <w:rFonts w:hint="eastAsia" w:ascii="仿宋" w:hAnsi="仿宋" w:eastAsia="仿宋" w:cs="仿宋"/>
              <w:sz w:val="24"/>
              <w:szCs w:val="24"/>
            </w:rPr>
            <w:tab/>
          </w:r>
          <w:r>
            <w:rPr>
              <w:rFonts w:hint="eastAsia" w:ascii="仿宋" w:hAnsi="仿宋" w:eastAsia="仿宋" w:cs="仿宋"/>
              <w:sz w:val="24"/>
              <w:szCs w:val="24"/>
              <w:lang w:val="en-US" w:eastAsia="zh-CN"/>
            </w:rPr>
            <w:t>2</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7</w:t>
          </w:r>
        </w:p>
        <w:p>
          <w:pPr>
            <w:pStyle w:val="8"/>
            <w:tabs>
              <w:tab w:val="right" w:leader="dot" w:pos="9060"/>
            </w:tabs>
            <w:rPr>
              <w:rFonts w:hint="eastAsia" w:eastAsia="宋体"/>
              <w:kern w:val="2"/>
              <w:sz w:val="21"/>
              <w:lang w:val="en-US" w:eastAsia="zh-CN"/>
            </w:rPr>
          </w:pPr>
          <w:r>
            <w:rPr>
              <w:rFonts w:hint="eastAsia" w:ascii="黑体" w:hAnsi="黑体" w:eastAsia="黑体" w:cs="黑体"/>
            </w:rPr>
            <w:fldChar w:fldCharType="begin"/>
          </w:r>
          <w:r>
            <w:rPr>
              <w:rFonts w:hint="eastAsia" w:ascii="黑体" w:hAnsi="黑体" w:eastAsia="黑体" w:cs="黑体"/>
            </w:rPr>
            <w:instrText xml:space="preserve"> HYPERLINK \l "_Toc103005288" </w:instrText>
          </w:r>
          <w:r>
            <w:rPr>
              <w:rFonts w:hint="eastAsia" w:ascii="黑体" w:hAnsi="黑体" w:eastAsia="黑体" w:cs="黑体"/>
            </w:rPr>
            <w:fldChar w:fldCharType="separate"/>
          </w:r>
          <w:r>
            <w:rPr>
              <w:rStyle w:val="12"/>
              <w:rFonts w:hint="eastAsia" w:ascii="黑体" w:hAnsi="黑体" w:eastAsia="黑体" w:cs="黑体"/>
              <w:b/>
              <w:sz w:val="24"/>
              <w:szCs w:val="24"/>
            </w:rPr>
            <w:t>7 结论</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9</w:t>
          </w:r>
        </w:p>
        <w:p>
          <w:pPr>
            <w:jc w:val="center"/>
          </w:pPr>
          <w:r>
            <w:fldChar w:fldCharType="end"/>
          </w:r>
        </w:p>
      </w:sdtContent>
    </w:sdt>
    <w:p>
      <w:pPr>
        <w:spacing w:line="420" w:lineRule="exact"/>
        <w:ind w:firstLine="573"/>
        <w:rPr>
          <w:rFonts w:ascii="宋体" w:hAnsi="宋体" w:cs="仿宋"/>
          <w:color w:val="000000"/>
          <w:sz w:val="24"/>
        </w:rPr>
        <w:sectPr>
          <w:footerReference r:id="rId3" w:type="even"/>
          <w:pgSz w:w="11906" w:h="16838"/>
          <w:pgMar w:top="1418" w:right="1418" w:bottom="1418" w:left="1418" w:header="851" w:footer="992" w:gutter="0"/>
          <w:cols w:space="425" w:num="1"/>
          <w:docGrid w:type="lines" w:linePitch="312" w:charSpace="0"/>
        </w:sectPr>
      </w:pPr>
    </w:p>
    <w:p>
      <w:pPr>
        <w:jc w:val="center"/>
        <w:rPr>
          <w:rFonts w:hint="eastAsia" w:ascii="宋体" w:hAnsi="宋体"/>
          <w:b/>
          <w:sz w:val="44"/>
          <w:szCs w:val="44"/>
        </w:rPr>
      </w:pPr>
      <w:r>
        <w:rPr>
          <w:rFonts w:hint="eastAsia" w:ascii="宋体" w:hAnsi="宋体"/>
          <w:b/>
          <w:sz w:val="44"/>
          <w:szCs w:val="44"/>
        </w:rPr>
        <w:t>食品质量与安全专业</w:t>
      </w:r>
      <w:r>
        <w:rPr>
          <w:rFonts w:hint="eastAsia" w:ascii="宋体" w:hAnsi="宋体"/>
          <w:b/>
          <w:sz w:val="44"/>
          <w:szCs w:val="44"/>
          <w:lang w:val="en-US" w:eastAsia="zh-CN"/>
        </w:rPr>
        <w:t>申请</w:t>
      </w:r>
      <w:r>
        <w:rPr>
          <w:rFonts w:hint="eastAsia" w:ascii="宋体" w:hAnsi="宋体"/>
          <w:b/>
          <w:sz w:val="44"/>
          <w:szCs w:val="44"/>
        </w:rPr>
        <w:t>新增</w:t>
      </w:r>
    </w:p>
    <w:p>
      <w:pPr>
        <w:jc w:val="center"/>
        <w:rPr>
          <w:rFonts w:ascii="黑体" w:hAnsi="黑体" w:eastAsia="黑体" w:cs="黑体"/>
          <w:b/>
          <w:sz w:val="32"/>
          <w:szCs w:val="32"/>
        </w:rPr>
      </w:pPr>
      <w:r>
        <w:rPr>
          <w:rFonts w:hint="eastAsia" w:ascii="宋体" w:hAnsi="宋体"/>
          <w:b/>
          <w:sz w:val="44"/>
          <w:szCs w:val="44"/>
        </w:rPr>
        <w:t>学士学位授予</w:t>
      </w:r>
      <w:r>
        <w:rPr>
          <w:rFonts w:hint="eastAsia" w:ascii="宋体" w:hAnsi="宋体"/>
          <w:b/>
          <w:sz w:val="44"/>
          <w:szCs w:val="44"/>
          <w:lang w:val="en-US" w:eastAsia="zh-CN"/>
        </w:rPr>
        <w:t>权</w:t>
      </w:r>
      <w:r>
        <w:rPr>
          <w:rFonts w:hint="eastAsia" w:ascii="宋体" w:hAnsi="宋体"/>
          <w:b/>
          <w:sz w:val="44"/>
          <w:szCs w:val="44"/>
        </w:rPr>
        <w:t>自评报告</w:t>
      </w:r>
    </w:p>
    <w:p>
      <w:pPr>
        <w:spacing w:before="0" w:beforeAutospacing="0" w:after="0" w:afterAutospacing="0"/>
        <w:ind w:firstLine="570"/>
        <w:rPr>
          <w:rFonts w:hint="eastAsia" w:ascii="仿宋" w:hAnsi="仿宋" w:eastAsia="仿宋"/>
          <w:sz w:val="32"/>
          <w:szCs w:val="32"/>
        </w:rPr>
      </w:pPr>
      <w:r>
        <w:rPr>
          <w:rFonts w:hint="eastAsia" w:ascii="仿宋" w:hAnsi="仿宋" w:eastAsia="仿宋"/>
          <w:sz w:val="32"/>
          <w:szCs w:val="32"/>
        </w:rPr>
        <w:t>食品质量与安全专业是黑龙江工业学院充分利用鸡西地区绿色食品产业的独特区域优势，适应区域经济发展，面向全国培养合格技术人才而开设的本科专业，于2018年开始招生，在校本科生220人，食品质量与安全专业是学校重点建设的应用技术型专业。</w:t>
      </w:r>
    </w:p>
    <w:p>
      <w:pPr>
        <w:pStyle w:val="2"/>
        <w:spacing w:beforeLines="20" w:afterLines="20" w:line="420" w:lineRule="exact"/>
        <w:rPr>
          <w:rFonts w:hint="eastAsia" w:ascii="黑体" w:hAnsi="黑体" w:eastAsia="黑体" w:cs="Times New Roman"/>
          <w:b/>
          <w:bCs w:val="0"/>
          <w:kern w:val="2"/>
          <w:sz w:val="32"/>
          <w:szCs w:val="32"/>
          <w:lang w:val="en-US" w:eastAsia="zh-CN" w:bidi="ar-SA"/>
        </w:rPr>
      </w:pPr>
      <w:bookmarkStart w:id="1" w:name="_Toc103005261"/>
      <w:r>
        <w:rPr>
          <w:rFonts w:hint="eastAsia" w:ascii="黑体" w:hAnsi="黑体" w:eastAsia="黑体" w:cs="Times New Roman"/>
          <w:b/>
          <w:bCs w:val="0"/>
          <w:kern w:val="2"/>
          <w:sz w:val="32"/>
          <w:szCs w:val="32"/>
          <w:lang w:val="en-US" w:eastAsia="zh-CN" w:bidi="ar-SA"/>
        </w:rPr>
        <w:t>1 专业定位与目标</w:t>
      </w:r>
      <w:bookmarkEnd w:id="1"/>
    </w:p>
    <w:p>
      <w:pPr>
        <w:pStyle w:val="3"/>
        <w:spacing w:beforeLines="20" w:afterLines="20" w:line="420" w:lineRule="exact"/>
        <w:rPr>
          <w:sz w:val="28"/>
          <w:szCs w:val="28"/>
        </w:rPr>
      </w:pPr>
      <w:bookmarkStart w:id="2" w:name="_Toc103005262"/>
      <w:r>
        <w:rPr>
          <w:rFonts w:hint="eastAsia" w:ascii="楷体" w:hAnsi="楷体" w:eastAsia="楷体" w:cs="Times New Roman"/>
          <w:b/>
          <w:bCs w:val="0"/>
          <w:kern w:val="2"/>
          <w:sz w:val="32"/>
          <w:szCs w:val="32"/>
          <w:lang w:val="en-US" w:eastAsia="zh-CN" w:bidi="ar-SA"/>
        </w:rPr>
        <w:t>1.1 针对国家和社会需求的办学定位</w:t>
      </w:r>
      <w:bookmarkEnd w:id="2"/>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（1）人才培养战略</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作为应用型专业，我们根据学科特点、学科发展趋势及黑龙江省情特别是鸡西市对食品专业本科人才需求状况，将人才培养战略定为：充分利用鸡西地区绿色食品产业的独特区域优势，坚持“知识、能力、素质”并重的教育模式，培养基础扎实、实践能力强、综合素质高，具有创新创业精神的高素质应用型人才。</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（2）教育改革思路</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食品质量与安全专业紧紧围绕黑龙江省绿色食品产业基地的发展，以培养高素质应用型人才为教学目标，面向鸡西及周边区域、面向全省，以适应区域经济发展需要为目标，提出高素质应用型人才培养目标；着力打造的高素质应用型人才培养教学体系和实践平台；以提高质量为核心，建立人才培养导向的管理制度和工作机制。解决了如何打造、打造什么样的高素质应用型人才培养体系以满足素质人才培养要求的问题。围绕人才培养目标开展管理制度与工作机制改革，形成“培养目标—培养平台—管理机制”有机结合的专业素质人才培养系统。</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（3）问题分析</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目前学院办学存在的主要问题是在设计知识体系时如何解决厚基础和重专业之间的矛盾。我们在制定教学计划时，特别重视各学科知识领域、知识单元的设计与课程体系的总体配置。通过规范各知识领域的最低学分要求，保障本专业人才所应具备的基本知识和素质。</w:t>
      </w:r>
    </w:p>
    <w:p>
      <w:pPr>
        <w:pStyle w:val="3"/>
        <w:spacing w:beforeLines="20" w:afterLines="20" w:line="420" w:lineRule="exact"/>
        <w:rPr>
          <w:rFonts w:hint="eastAsia" w:ascii="楷体" w:hAnsi="楷体" w:eastAsia="楷体" w:cs="Times New Roman"/>
          <w:b/>
          <w:bCs w:val="0"/>
          <w:kern w:val="2"/>
          <w:sz w:val="32"/>
          <w:szCs w:val="32"/>
          <w:lang w:val="en-US" w:eastAsia="zh-CN" w:bidi="ar-SA"/>
        </w:rPr>
      </w:pPr>
      <w:bookmarkStart w:id="3" w:name="_Toc103005263"/>
      <w:r>
        <w:rPr>
          <w:rFonts w:hint="eastAsia" w:ascii="楷体" w:hAnsi="楷体" w:eastAsia="楷体" w:cs="Times New Roman"/>
          <w:b/>
          <w:bCs w:val="0"/>
          <w:kern w:val="2"/>
          <w:sz w:val="32"/>
          <w:szCs w:val="32"/>
          <w:lang w:val="en-US" w:eastAsia="zh-CN" w:bidi="ar-SA"/>
        </w:rPr>
        <w:t>1.2 针对学生发展需求的培养目标</w:t>
      </w:r>
      <w:bookmarkEnd w:id="3"/>
    </w:p>
    <w:p>
      <w:pPr>
        <w:spacing w:before="0" w:beforeAutospacing="0" w:after="0" w:afterAutospacing="0"/>
        <w:ind w:firstLine="640" w:firstLineChars="200"/>
        <w:rPr>
          <w:rFonts w:hint="eastAsia" w:ascii="仿宋" w:hAnsi="仿宋" w:eastAsia="仿宋"/>
          <w:sz w:val="32"/>
          <w:szCs w:val="32"/>
          <w:lang w:val="zh-CN"/>
        </w:rPr>
      </w:pPr>
      <w:r>
        <w:rPr>
          <w:rFonts w:hint="eastAsia" w:ascii="仿宋" w:hAnsi="仿宋" w:eastAsia="仿宋"/>
          <w:sz w:val="32"/>
          <w:szCs w:val="32"/>
          <w:lang w:val="zh-CN"/>
        </w:rPr>
        <w:t>（1）专业的人才培养目标</w:t>
      </w:r>
    </w:p>
    <w:p>
      <w:pPr>
        <w:spacing w:before="0" w:beforeAutospacing="0" w:after="0" w:afterAutospacing="0"/>
        <w:ind w:firstLine="640" w:firstLineChars="200"/>
        <w:rPr>
          <w:rFonts w:hint="eastAsia" w:ascii="仿宋" w:hAnsi="仿宋" w:eastAsia="仿宋"/>
          <w:sz w:val="32"/>
          <w:szCs w:val="32"/>
          <w:lang w:val="zh-CN"/>
        </w:rPr>
      </w:pPr>
      <w:r>
        <w:rPr>
          <w:rFonts w:hint="eastAsia" w:ascii="仿宋" w:hAnsi="仿宋" w:eastAsia="仿宋"/>
          <w:sz w:val="32"/>
          <w:szCs w:val="32"/>
          <w:lang w:val="zh-CN"/>
        </w:rPr>
        <w:t>食品质量与安全专业以培养高素质应用型创新人才为目标的本科教育，以正确的办学指导思想定位为前提，坚持以服务于地方经济为宗旨，紧紧围绕黑龙江省发展，结合食品质量与安全专业在食品行业产业链中的地位和作用，力争培养出德、智、体、美全面发展，掌握食品质量与安全方面的基础理论、专业知识和相关工程技术知识，具备在现代食品生产及相关领域，特别是绿色食品产业从事生产检验、科学研究、工程设计、品质控制、技术开发和经营管理等方面工作能力，基础扎实、实践能力强、综合素质高，具有创新创业精神的高素质应用型人才。</w:t>
      </w:r>
    </w:p>
    <w:p>
      <w:pPr>
        <w:spacing w:before="0" w:beforeAutospacing="0" w:after="0" w:afterAutospacing="0"/>
        <w:ind w:firstLine="640" w:firstLineChars="200"/>
        <w:rPr>
          <w:rFonts w:hint="eastAsia" w:ascii="仿宋" w:hAnsi="仿宋" w:eastAsia="仿宋"/>
          <w:sz w:val="32"/>
          <w:szCs w:val="32"/>
          <w:lang w:val="zh-CN"/>
        </w:rPr>
      </w:pPr>
      <w:r>
        <w:rPr>
          <w:rFonts w:hint="eastAsia" w:ascii="仿宋" w:hAnsi="仿宋" w:eastAsia="仿宋"/>
          <w:sz w:val="32"/>
          <w:szCs w:val="32"/>
          <w:lang w:val="zh-CN"/>
        </w:rPr>
        <w:t>毕业后能胜任在相关食品企业、检验机构、认证机构、监督管理部门和科研机构等企事业单位从事食品生产、分析检测、食品质量安全控制、安全评价、质量认证、监督管理、科学研究等方面的工作。</w:t>
      </w:r>
    </w:p>
    <w:p>
      <w:pPr>
        <w:spacing w:before="0" w:beforeAutospacing="0" w:after="0" w:afterAutospacing="0"/>
        <w:ind w:firstLine="640" w:firstLineChars="200"/>
        <w:rPr>
          <w:rFonts w:hint="eastAsia" w:ascii="仿宋" w:hAnsi="仿宋" w:eastAsia="仿宋"/>
          <w:sz w:val="32"/>
          <w:szCs w:val="32"/>
          <w:lang w:val="zh-CN"/>
        </w:rPr>
      </w:pPr>
      <w:r>
        <w:rPr>
          <w:rFonts w:hint="eastAsia" w:ascii="仿宋" w:hAnsi="仿宋" w:eastAsia="仿宋"/>
          <w:sz w:val="32"/>
          <w:szCs w:val="32"/>
          <w:lang w:val="zh-CN"/>
        </w:rPr>
        <w:t>（2）人才培养的知识、能力和素质的要求</w:t>
      </w:r>
    </w:p>
    <w:p>
      <w:pPr>
        <w:spacing w:before="0" w:beforeAutospacing="0" w:after="0" w:afterAutospacing="0"/>
        <w:ind w:firstLine="640" w:firstLineChars="200"/>
        <w:rPr>
          <w:rFonts w:hint="eastAsia" w:ascii="仿宋" w:hAnsi="仿宋" w:eastAsia="仿宋"/>
          <w:sz w:val="32"/>
          <w:szCs w:val="32"/>
          <w:lang w:val="zh-CN"/>
        </w:rPr>
      </w:pPr>
      <w:r>
        <w:rPr>
          <w:rFonts w:hint="eastAsia" w:ascii="仿宋" w:hAnsi="仿宋" w:eastAsia="仿宋"/>
          <w:sz w:val="32"/>
          <w:szCs w:val="32"/>
          <w:lang w:val="zh-CN"/>
        </w:rPr>
        <w:t>①知识要求。掌握基础科学知识、人文和社会科学知识；掌握数学、生物学、化学、试验技术等相关知识；具有工程制图、机械设备、计算机技术等工程科学基础知识；具备管理、法律、环境等人文与社会学的知识。掌握食品中重要成分的结构、性质及在加工和贮藏中的变化；掌握微生物对食品影响等知识；掌握食品处理与保藏等知识。具有食品质量与安全方面的专业技术知识，掌握食品安全、卫生和管理等知识；掌握毒理学、食品添加剂等知识；掌握食品、微生物等采集、处理、检测等知识；掌握关于食品的法律法规、食品标准食品质量管理等知识。</w:t>
      </w:r>
    </w:p>
    <w:p>
      <w:pPr>
        <w:spacing w:before="0" w:beforeAutospacing="0" w:after="0" w:afterAutospacing="0"/>
        <w:ind w:firstLine="640" w:firstLineChars="200"/>
        <w:rPr>
          <w:rFonts w:hint="eastAsia" w:ascii="仿宋" w:hAnsi="仿宋" w:eastAsia="仿宋"/>
          <w:sz w:val="32"/>
          <w:szCs w:val="32"/>
          <w:lang w:val="zh-CN"/>
        </w:rPr>
      </w:pPr>
      <w:r>
        <w:rPr>
          <w:rFonts w:hint="eastAsia" w:ascii="仿宋" w:hAnsi="仿宋" w:eastAsia="仿宋"/>
          <w:sz w:val="32"/>
          <w:szCs w:val="32"/>
          <w:lang w:val="zh-CN"/>
        </w:rPr>
        <w:t>②能力要求。专业能力：具备利用所学理论知识与技术手段分析、解决实际问题的能力；剧本根据市场方向策划和改进方案的能力；具备工程分析与设计、工程实施、和创新能力。沟通与交流能力：具有一定的协调、管理、竞争与合作的基本能力；具有团队合作精神，能够熟练利用现代交流媒介；具备较强的人际交往能力和适应能力。具备自我获取知识的能力和终身学习能力。</w:t>
      </w:r>
    </w:p>
    <w:p>
      <w:pPr>
        <w:spacing w:before="0" w:beforeAutospacing="0" w:after="0" w:afterAutospacing="0"/>
        <w:ind w:firstLine="640" w:firstLineChars="200"/>
        <w:rPr>
          <w:rFonts w:hint="eastAsia" w:ascii="仿宋" w:hAnsi="仿宋" w:eastAsia="仿宋"/>
          <w:sz w:val="32"/>
          <w:szCs w:val="32"/>
          <w:lang w:val="zh-CN"/>
        </w:rPr>
      </w:pPr>
      <w:r>
        <w:rPr>
          <w:rFonts w:hint="eastAsia" w:ascii="仿宋" w:hAnsi="仿宋" w:eastAsia="仿宋"/>
          <w:sz w:val="32"/>
          <w:szCs w:val="32"/>
          <w:lang w:val="zh-CN"/>
        </w:rPr>
        <w:t>③素质要求。思想道德素质：具有社会主义国家公民应具备的理论知识；具有科学的世界观、人生观和价值观；具有良好的思想品德、社会公德、职业道德；能够团结互助、乐于奉献和遵纪守法。专业素质：具备食品专业的相关理论、技术、能力和一定的工程素质；具有安全意识、环保意识和可持续发展意识。文化素质：具有一定的人文底蕴、时代精神、民族精神和创新精神；具有正确的审美观念和一定的艺术审美修养，具有良好的体育锻炼、卫生习惯和劳动观念。</w:t>
      </w:r>
    </w:p>
    <w:p>
      <w:pPr>
        <w:pStyle w:val="3"/>
        <w:spacing w:beforeLines="20" w:afterLines="20" w:line="420" w:lineRule="exact"/>
        <w:rPr>
          <w:rFonts w:hint="eastAsia" w:ascii="楷体" w:hAnsi="楷体" w:eastAsia="楷体" w:cs="Times New Roman"/>
          <w:b/>
          <w:bCs w:val="0"/>
          <w:kern w:val="2"/>
          <w:sz w:val="32"/>
          <w:szCs w:val="32"/>
          <w:lang w:val="en-US" w:eastAsia="zh-CN" w:bidi="ar-SA"/>
        </w:rPr>
      </w:pPr>
      <w:bookmarkStart w:id="4" w:name="_Toc103005264"/>
      <w:r>
        <w:rPr>
          <w:rFonts w:hint="eastAsia" w:ascii="楷体" w:hAnsi="楷体" w:eastAsia="楷体" w:cs="Times New Roman"/>
          <w:b/>
          <w:bCs w:val="0"/>
          <w:kern w:val="2"/>
          <w:sz w:val="32"/>
          <w:szCs w:val="32"/>
          <w:lang w:val="en-US" w:eastAsia="zh-CN" w:bidi="ar-SA"/>
        </w:rPr>
        <w:t>1.3 人才培养中心地位</w:t>
      </w:r>
      <w:bookmarkEnd w:id="4"/>
    </w:p>
    <w:p>
      <w:pPr>
        <w:spacing w:before="0" w:beforeAutospacing="0" w:after="0" w:afterAutospacing="0"/>
        <w:ind w:firstLine="640" w:firstLineChars="200"/>
        <w:rPr>
          <w:rFonts w:hint="eastAsia" w:ascii="仿宋" w:hAnsi="仿宋" w:eastAsia="仿宋"/>
          <w:sz w:val="32"/>
          <w:szCs w:val="32"/>
          <w:lang w:val="zh-CN"/>
        </w:rPr>
      </w:pPr>
      <w:r>
        <w:rPr>
          <w:rFonts w:hint="eastAsia" w:ascii="仿宋" w:hAnsi="仿宋" w:eastAsia="仿宋"/>
          <w:sz w:val="32"/>
          <w:szCs w:val="32"/>
          <w:lang w:val="zh-CN"/>
        </w:rPr>
        <w:t>（1）落实人才培养中心地位的政策与措施</w:t>
      </w:r>
    </w:p>
    <w:p>
      <w:pPr>
        <w:spacing w:before="0" w:beforeAutospacing="0" w:after="0" w:afterAutospacing="0"/>
        <w:ind w:firstLine="640" w:firstLineChars="200"/>
        <w:rPr>
          <w:rFonts w:hint="eastAsia" w:ascii="仿宋" w:hAnsi="仿宋" w:eastAsia="仿宋"/>
          <w:sz w:val="32"/>
          <w:szCs w:val="32"/>
          <w:lang w:val="zh-CN"/>
        </w:rPr>
      </w:pPr>
      <w:r>
        <w:rPr>
          <w:rFonts w:hint="eastAsia" w:ascii="仿宋" w:hAnsi="仿宋" w:eastAsia="仿宋"/>
          <w:sz w:val="32"/>
          <w:szCs w:val="32"/>
          <w:lang w:val="zh-CN"/>
        </w:rPr>
        <w:t>①以“注重基础、强化实践、提高素质”的指导思想，构建本科专业素质人才培养体系，注重对教学大纲和授课计划的整体把握，注重知识的系统性和层次性设计，注重分析课程之间的关联性、一致性和特殊性，每一门课程既注意自身内容上的合理性,又充分考虑与其他课程的协调和配合。</w:t>
      </w:r>
    </w:p>
    <w:p>
      <w:pPr>
        <w:spacing w:before="0" w:beforeAutospacing="0" w:after="0" w:afterAutospacing="0"/>
        <w:ind w:firstLine="640" w:firstLineChars="200"/>
        <w:rPr>
          <w:rFonts w:hint="eastAsia" w:ascii="仿宋" w:hAnsi="仿宋" w:eastAsia="仿宋"/>
          <w:sz w:val="32"/>
          <w:szCs w:val="32"/>
          <w:lang w:val="zh-CN"/>
        </w:rPr>
      </w:pPr>
      <w:r>
        <w:rPr>
          <w:rFonts w:hint="eastAsia" w:ascii="仿宋" w:hAnsi="仿宋" w:eastAsia="仿宋"/>
          <w:sz w:val="32"/>
          <w:szCs w:val="32"/>
          <w:lang w:val="zh-CN"/>
        </w:rPr>
        <w:t>②构建以核心课程为中心的课程集群建设，形成课程体系不断优化升级的良性循环机制。</w:t>
      </w:r>
    </w:p>
    <w:p>
      <w:pPr>
        <w:spacing w:before="0" w:beforeAutospacing="0" w:after="0" w:afterAutospacing="0"/>
        <w:ind w:firstLine="640" w:firstLineChars="200"/>
        <w:rPr>
          <w:rFonts w:hint="eastAsia" w:ascii="仿宋" w:hAnsi="仿宋" w:eastAsia="仿宋"/>
          <w:sz w:val="32"/>
          <w:szCs w:val="32"/>
          <w:lang w:val="zh-CN"/>
        </w:rPr>
      </w:pPr>
      <w:r>
        <w:rPr>
          <w:rFonts w:hint="eastAsia" w:ascii="仿宋" w:hAnsi="仿宋" w:eastAsia="仿宋"/>
          <w:sz w:val="32"/>
          <w:szCs w:val="32"/>
          <w:lang w:val="zh-CN"/>
        </w:rPr>
        <w:t>③以“老带新”、“新促老”的方式在教师中开展“传帮带”活动，帮助青年教师尽快融入课堂，也为老教师的课程融入更多新鲜内容。</w:t>
      </w:r>
    </w:p>
    <w:p>
      <w:pPr>
        <w:spacing w:before="0" w:beforeAutospacing="0" w:after="0" w:afterAutospacing="0"/>
        <w:ind w:firstLine="640" w:firstLineChars="200"/>
        <w:rPr>
          <w:rFonts w:hint="eastAsia" w:ascii="仿宋" w:hAnsi="仿宋" w:eastAsia="仿宋"/>
          <w:sz w:val="32"/>
          <w:szCs w:val="32"/>
          <w:lang w:val="zh-CN"/>
        </w:rPr>
      </w:pPr>
      <w:r>
        <w:rPr>
          <w:rFonts w:hint="eastAsia" w:ascii="仿宋" w:hAnsi="仿宋" w:eastAsia="仿宋"/>
          <w:sz w:val="32"/>
          <w:szCs w:val="32"/>
          <w:lang w:val="zh-CN"/>
        </w:rPr>
        <w:fldChar w:fldCharType="begin"/>
      </w:r>
      <w:r>
        <w:rPr>
          <w:rFonts w:hint="eastAsia" w:ascii="仿宋" w:hAnsi="仿宋" w:eastAsia="仿宋"/>
          <w:sz w:val="32"/>
          <w:szCs w:val="32"/>
          <w:lang w:val="zh-CN"/>
        </w:rPr>
        <w:instrText xml:space="preserve"> = 4 \* GB3 \* MERGEFORMAT </w:instrText>
      </w:r>
      <w:r>
        <w:rPr>
          <w:rFonts w:hint="eastAsia" w:ascii="仿宋" w:hAnsi="仿宋" w:eastAsia="仿宋"/>
          <w:sz w:val="32"/>
          <w:szCs w:val="32"/>
          <w:lang w:val="zh-CN"/>
        </w:rPr>
        <w:fldChar w:fldCharType="separate"/>
      </w:r>
      <w:r>
        <w:rPr>
          <w:rFonts w:hint="eastAsia" w:ascii="仿宋" w:hAnsi="仿宋" w:eastAsia="仿宋"/>
          <w:sz w:val="32"/>
          <w:szCs w:val="32"/>
          <w:lang w:val="zh-CN"/>
        </w:rPr>
        <w:t>④</w:t>
      </w:r>
      <w:r>
        <w:rPr>
          <w:rFonts w:hint="eastAsia" w:ascii="仿宋" w:hAnsi="仿宋" w:eastAsia="仿宋"/>
          <w:sz w:val="32"/>
          <w:szCs w:val="32"/>
          <w:lang w:val="zh-CN"/>
        </w:rPr>
        <w:fldChar w:fldCharType="end"/>
      </w:r>
      <w:r>
        <w:rPr>
          <w:rFonts w:hint="eastAsia" w:ascii="仿宋" w:hAnsi="仿宋" w:eastAsia="仿宋"/>
          <w:sz w:val="32"/>
          <w:szCs w:val="32"/>
          <w:lang w:val="zh-CN"/>
        </w:rPr>
        <w:t>推行课程立项、教材建设立项、教学改革与创新立项，鼓励教师开展教学改革与创新研究活动，促进了课程体系、教材建设、教学改革与研究工作的开展和完成。</w:t>
      </w:r>
    </w:p>
    <w:p>
      <w:pPr>
        <w:spacing w:before="0" w:beforeAutospacing="0" w:after="0" w:afterAutospacing="0"/>
        <w:ind w:firstLine="640" w:firstLineChars="200"/>
        <w:rPr>
          <w:rFonts w:hint="eastAsia" w:ascii="仿宋" w:hAnsi="仿宋" w:eastAsia="仿宋"/>
          <w:sz w:val="32"/>
          <w:szCs w:val="32"/>
          <w:lang w:val="zh-CN"/>
        </w:rPr>
      </w:pPr>
      <w:r>
        <w:rPr>
          <w:rFonts w:hint="eastAsia" w:ascii="仿宋" w:hAnsi="仿宋" w:eastAsia="仿宋"/>
          <w:sz w:val="32"/>
          <w:szCs w:val="32"/>
          <w:lang w:val="zh-CN"/>
        </w:rPr>
        <w:t>⑤大力推动实习基地建设，建成黑龙江省实验教学示范中心，逐级搭建专业基础实验、教学实习和创新教育三级平台。打造产教融合校企合作新模式，与域内企业单位合作共建多个实习实践就业基地，可为企业输送人才和接纳企业员工到我院进行培训。</w:t>
      </w:r>
    </w:p>
    <w:p>
      <w:pPr>
        <w:spacing w:before="0" w:beforeAutospacing="0" w:after="0" w:afterAutospacing="0"/>
        <w:ind w:firstLine="640" w:firstLineChars="200"/>
        <w:rPr>
          <w:rFonts w:hint="eastAsia" w:ascii="仿宋" w:hAnsi="仿宋" w:eastAsia="仿宋"/>
          <w:sz w:val="32"/>
          <w:szCs w:val="32"/>
          <w:lang w:val="zh-CN"/>
        </w:rPr>
      </w:pPr>
      <w:r>
        <w:rPr>
          <w:rFonts w:hint="eastAsia" w:ascii="仿宋" w:hAnsi="仿宋" w:eastAsia="仿宋"/>
          <w:sz w:val="32"/>
          <w:szCs w:val="32"/>
          <w:lang w:val="zh-CN"/>
        </w:rPr>
        <w:fldChar w:fldCharType="begin"/>
      </w:r>
      <w:r>
        <w:rPr>
          <w:rFonts w:hint="eastAsia" w:ascii="仿宋" w:hAnsi="仿宋" w:eastAsia="仿宋"/>
          <w:sz w:val="32"/>
          <w:szCs w:val="32"/>
          <w:lang w:val="zh-CN"/>
        </w:rPr>
        <w:instrText xml:space="preserve"> = 6 \* GB3 \* MERGEFORMAT </w:instrText>
      </w:r>
      <w:r>
        <w:rPr>
          <w:rFonts w:hint="eastAsia" w:ascii="仿宋" w:hAnsi="仿宋" w:eastAsia="仿宋"/>
          <w:sz w:val="32"/>
          <w:szCs w:val="32"/>
          <w:lang w:val="zh-CN"/>
        </w:rPr>
        <w:fldChar w:fldCharType="separate"/>
      </w:r>
      <w:r>
        <w:rPr>
          <w:rFonts w:hint="eastAsia" w:ascii="仿宋" w:hAnsi="仿宋" w:eastAsia="仿宋"/>
          <w:sz w:val="32"/>
          <w:szCs w:val="32"/>
          <w:lang w:val="zh-CN"/>
        </w:rPr>
        <w:t>⑥</w:t>
      </w:r>
      <w:r>
        <w:rPr>
          <w:rFonts w:hint="eastAsia" w:ascii="仿宋" w:hAnsi="仿宋" w:eastAsia="仿宋"/>
          <w:sz w:val="32"/>
          <w:szCs w:val="32"/>
          <w:lang w:val="zh-CN"/>
        </w:rPr>
        <w:fldChar w:fldCharType="end"/>
      </w:r>
      <w:r>
        <w:rPr>
          <w:rFonts w:hint="eastAsia" w:ascii="仿宋" w:hAnsi="仿宋" w:eastAsia="仿宋"/>
          <w:sz w:val="32"/>
          <w:szCs w:val="32"/>
          <w:lang w:val="zh-CN"/>
        </w:rPr>
        <w:t>以赛促学、以赛代考。为增加学生学习的积极性，切实提高实践能力，增加就业筹码，学院积极组织各种专业技能竞赛。自2013年起，每年均组织学生参加全国大学生化工设计大赛，获得国家级奖项学生10余人，省级奖项学生40余人。同时，学院规定，获得一项省级以上奖励者可顶一门选修课，以激发学生的参赛热情。</w:t>
      </w:r>
    </w:p>
    <w:p>
      <w:pPr>
        <w:spacing w:before="0" w:beforeAutospacing="0" w:after="0" w:afterAutospacing="0"/>
        <w:ind w:firstLine="640" w:firstLineChars="200"/>
        <w:rPr>
          <w:rFonts w:hint="eastAsia" w:ascii="仿宋" w:hAnsi="仿宋" w:eastAsia="仿宋"/>
          <w:sz w:val="32"/>
          <w:szCs w:val="32"/>
          <w:lang w:val="zh-CN"/>
        </w:rPr>
      </w:pPr>
      <w:r>
        <w:rPr>
          <w:rFonts w:hint="eastAsia" w:ascii="仿宋" w:hAnsi="仿宋" w:eastAsia="仿宋"/>
          <w:sz w:val="32"/>
          <w:szCs w:val="32"/>
          <w:lang w:val="zh-CN"/>
        </w:rPr>
        <w:t>（2）领导对本科教学的重视情况</w:t>
      </w:r>
    </w:p>
    <w:p>
      <w:pPr>
        <w:spacing w:before="0" w:beforeAutospacing="0" w:after="0" w:afterAutospacing="0"/>
        <w:ind w:firstLine="640" w:firstLineChars="200"/>
        <w:rPr>
          <w:rFonts w:hint="eastAsia" w:ascii="仿宋" w:hAnsi="仿宋" w:eastAsia="仿宋"/>
          <w:sz w:val="32"/>
          <w:szCs w:val="32"/>
          <w:lang w:val="zh-CN"/>
        </w:rPr>
      </w:pPr>
      <w:r>
        <w:rPr>
          <w:rFonts w:hint="eastAsia" w:ascii="仿宋" w:hAnsi="仿宋" w:eastAsia="仿宋"/>
          <w:sz w:val="32"/>
          <w:szCs w:val="32"/>
          <w:lang w:val="zh-CN"/>
        </w:rPr>
        <w:t>①学院党政领导班子对本科教学非常重视，一直将本科教学工作列入学院党政联席会议事日程，经常讨论本科教育教学问题；每周召开全院教师大会，进行经常组织教师学习新的教学理念和教学手段。</w:t>
      </w:r>
    </w:p>
    <w:p>
      <w:pPr>
        <w:spacing w:before="0" w:beforeAutospacing="0" w:after="0" w:afterAutospacing="0"/>
        <w:ind w:firstLine="640" w:firstLineChars="200"/>
        <w:rPr>
          <w:rFonts w:hint="eastAsia" w:ascii="仿宋" w:hAnsi="仿宋" w:eastAsia="仿宋"/>
          <w:sz w:val="32"/>
          <w:szCs w:val="32"/>
          <w:lang w:val="zh-CN"/>
        </w:rPr>
      </w:pPr>
      <w:r>
        <w:rPr>
          <w:rFonts w:hint="eastAsia" w:ascii="仿宋" w:hAnsi="仿宋" w:eastAsia="仿宋"/>
          <w:sz w:val="32"/>
          <w:szCs w:val="32"/>
          <w:lang w:val="zh-CN"/>
        </w:rPr>
        <w:t>②学院院长一直承担本科教学任务，此外，学院各位领导均按业务归属划分到各专业教研室，参加教研室各项活动，深入了解各专业的发展状况和问题，指导专业建设工作。</w:t>
      </w:r>
    </w:p>
    <w:p>
      <w:pPr>
        <w:spacing w:before="0" w:beforeAutospacing="0" w:after="0" w:afterAutospacing="0"/>
        <w:ind w:firstLine="640" w:firstLineChars="200"/>
        <w:rPr>
          <w:rFonts w:hint="eastAsia" w:ascii="仿宋" w:hAnsi="仿宋" w:eastAsia="仿宋"/>
          <w:sz w:val="32"/>
          <w:szCs w:val="32"/>
          <w:lang w:val="zh-CN"/>
        </w:rPr>
      </w:pPr>
      <w:r>
        <w:rPr>
          <w:rFonts w:hint="eastAsia" w:ascii="仿宋" w:hAnsi="仿宋" w:eastAsia="仿宋"/>
          <w:sz w:val="32"/>
          <w:szCs w:val="32"/>
          <w:lang w:val="zh-CN"/>
        </w:rPr>
        <w:t>③为了加强学院本科教学管理工作，不断完善教学质量监控体系，加强教学督导，提高课堂教学质量和教学水平，学院制订院系领导听课规定，要求：参与听课的院系领导包括院长、书记、副院长、各教研室主任以及全体教师；学期初，接新课的教师都要进行试讲，试讲包括说课和讲课两个部分；全体教师均可以任意选择听课时间和教师进行听课；如无特殊情况, 每位领导每学期要听课10学时，教研室主任每学期要听课5学时，普通教师每学期要听课3学时以上。听课内容可以自行选择，听课的过程中要认真填写听课记录表，并通过多种途径了解教师的授课效果和学生的意见，需及反馈给教师和教研室，以便问题得到时解决得。</w:t>
      </w:r>
    </w:p>
    <w:p>
      <w:pPr>
        <w:spacing w:before="0" w:beforeAutospacing="0" w:after="0" w:afterAutospacing="0"/>
        <w:ind w:firstLine="640" w:firstLineChars="200"/>
        <w:rPr>
          <w:rFonts w:hint="eastAsia" w:ascii="仿宋" w:hAnsi="仿宋" w:eastAsia="仿宋"/>
          <w:sz w:val="32"/>
          <w:szCs w:val="32"/>
          <w:lang w:val="zh-CN"/>
        </w:rPr>
      </w:pPr>
      <w:r>
        <w:rPr>
          <w:rFonts w:hint="eastAsia" w:ascii="仿宋" w:hAnsi="仿宋" w:eastAsia="仿宋"/>
          <w:sz w:val="32"/>
          <w:szCs w:val="32"/>
          <w:lang w:val="zh-CN"/>
        </w:rPr>
        <w:fldChar w:fldCharType="begin"/>
      </w:r>
      <w:r>
        <w:rPr>
          <w:rFonts w:hint="eastAsia" w:ascii="仿宋" w:hAnsi="仿宋" w:eastAsia="仿宋"/>
          <w:sz w:val="32"/>
          <w:szCs w:val="32"/>
          <w:lang w:val="zh-CN"/>
        </w:rPr>
        <w:instrText xml:space="preserve"> = 4 \* GB3 \* MERGEFORMAT </w:instrText>
      </w:r>
      <w:r>
        <w:rPr>
          <w:rFonts w:hint="eastAsia" w:ascii="仿宋" w:hAnsi="仿宋" w:eastAsia="仿宋"/>
          <w:sz w:val="32"/>
          <w:szCs w:val="32"/>
          <w:lang w:val="zh-CN"/>
        </w:rPr>
        <w:fldChar w:fldCharType="separate"/>
      </w:r>
      <w:r>
        <w:rPr>
          <w:rFonts w:hint="eastAsia" w:ascii="仿宋" w:hAnsi="仿宋" w:eastAsia="仿宋"/>
          <w:sz w:val="32"/>
          <w:szCs w:val="32"/>
          <w:lang w:val="zh-CN"/>
        </w:rPr>
        <w:t>④</w:t>
      </w:r>
      <w:r>
        <w:rPr>
          <w:rFonts w:hint="eastAsia" w:ascii="仿宋" w:hAnsi="仿宋" w:eastAsia="仿宋"/>
          <w:sz w:val="32"/>
          <w:szCs w:val="32"/>
          <w:lang w:val="zh-CN"/>
        </w:rPr>
        <w:fldChar w:fldCharType="end"/>
      </w:r>
      <w:r>
        <w:rPr>
          <w:rFonts w:hint="eastAsia" w:ascii="仿宋" w:hAnsi="仿宋" w:eastAsia="仿宋"/>
          <w:sz w:val="32"/>
          <w:szCs w:val="32"/>
          <w:lang w:val="zh-CN"/>
        </w:rPr>
        <w:t>制定教师培训制度。有计划地安排教师进行在职学习、在岗进修、脱产进修，到国内高校作访问学者，提高教学和科研能力，积极鼓励教师考取博士研究生。选派青年教师深入本地知名企业挂职锻炼，了解企业发展的最新状况，以构建“双师型”教师队伍。</w:t>
      </w:r>
    </w:p>
    <w:p>
      <w:pPr>
        <w:pStyle w:val="2"/>
        <w:spacing w:beforeLines="20" w:afterLines="20" w:line="420" w:lineRule="exact"/>
        <w:rPr>
          <w:rFonts w:hint="eastAsia" w:ascii="黑体" w:hAnsi="黑体" w:eastAsia="黑体" w:cs="Times New Roman"/>
          <w:b/>
          <w:bCs w:val="0"/>
          <w:kern w:val="2"/>
          <w:sz w:val="32"/>
          <w:szCs w:val="32"/>
          <w:lang w:val="en-US" w:eastAsia="zh-CN" w:bidi="ar-SA"/>
        </w:rPr>
      </w:pPr>
      <w:bookmarkStart w:id="5" w:name="_Toc36540521"/>
      <w:bookmarkStart w:id="6" w:name="_Toc103005265"/>
      <w:r>
        <w:rPr>
          <w:rFonts w:hint="eastAsia" w:ascii="黑体" w:hAnsi="黑体" w:eastAsia="黑体" w:cs="Times New Roman"/>
          <w:b/>
          <w:bCs w:val="0"/>
          <w:kern w:val="2"/>
          <w:sz w:val="32"/>
          <w:szCs w:val="32"/>
          <w:lang w:val="en-US" w:eastAsia="zh-CN" w:bidi="ar-SA"/>
        </w:rPr>
        <w:t xml:space="preserve">2 </w:t>
      </w:r>
      <w:bookmarkEnd w:id="5"/>
      <w:r>
        <w:rPr>
          <w:rFonts w:hint="eastAsia" w:ascii="黑体" w:hAnsi="黑体" w:eastAsia="黑体" w:cs="Times New Roman"/>
          <w:b/>
          <w:bCs w:val="0"/>
          <w:kern w:val="2"/>
          <w:sz w:val="32"/>
          <w:szCs w:val="32"/>
          <w:lang w:val="en-US" w:eastAsia="zh-CN" w:bidi="ar-SA"/>
        </w:rPr>
        <w:t>师资队伍</w:t>
      </w:r>
      <w:bookmarkEnd w:id="6"/>
    </w:p>
    <w:p>
      <w:pPr>
        <w:pStyle w:val="3"/>
        <w:spacing w:beforeLines="20" w:afterLines="20" w:line="420" w:lineRule="exact"/>
        <w:rPr>
          <w:rFonts w:hint="eastAsia" w:ascii="楷体" w:hAnsi="楷体" w:eastAsia="楷体" w:cs="Times New Roman"/>
          <w:b/>
          <w:bCs w:val="0"/>
          <w:kern w:val="2"/>
          <w:sz w:val="32"/>
          <w:szCs w:val="32"/>
          <w:lang w:val="en-US" w:eastAsia="zh-CN" w:bidi="ar-SA"/>
        </w:rPr>
      </w:pPr>
      <w:bookmarkStart w:id="7" w:name="_Toc36540522"/>
      <w:bookmarkStart w:id="8" w:name="_Toc103005266"/>
      <w:r>
        <w:rPr>
          <w:rFonts w:hint="eastAsia" w:ascii="楷体" w:hAnsi="楷体" w:eastAsia="楷体" w:cs="Times New Roman"/>
          <w:b/>
          <w:bCs w:val="0"/>
          <w:kern w:val="2"/>
          <w:sz w:val="32"/>
          <w:szCs w:val="32"/>
          <w:lang w:val="en-US" w:eastAsia="zh-CN" w:bidi="ar-SA"/>
        </w:rPr>
        <w:t xml:space="preserve">2.1 </w:t>
      </w:r>
      <w:bookmarkEnd w:id="7"/>
      <w:r>
        <w:rPr>
          <w:rFonts w:hint="eastAsia" w:ascii="楷体" w:hAnsi="楷体" w:eastAsia="楷体" w:cs="Times New Roman"/>
          <w:b/>
          <w:bCs w:val="0"/>
          <w:kern w:val="2"/>
          <w:sz w:val="32"/>
          <w:szCs w:val="32"/>
          <w:lang w:val="en-US" w:eastAsia="zh-CN" w:bidi="ar-SA"/>
        </w:rPr>
        <w:t>师资结构</w:t>
      </w:r>
      <w:bookmarkEnd w:id="8"/>
    </w:p>
    <w:p>
      <w:pPr>
        <w:spacing w:before="0" w:beforeAutospacing="0" w:after="0" w:afterAutospacing="0"/>
        <w:ind w:firstLine="640" w:firstLineChars="200"/>
        <w:rPr>
          <w:rFonts w:hint="eastAsia" w:ascii="仿宋" w:hAnsi="仿宋" w:eastAsia="仿宋"/>
          <w:sz w:val="32"/>
          <w:szCs w:val="32"/>
          <w:lang w:val="zh-CN"/>
        </w:rPr>
      </w:pPr>
      <w:r>
        <w:rPr>
          <w:rFonts w:hint="eastAsia" w:ascii="仿宋" w:hAnsi="仿宋" w:eastAsia="仿宋"/>
          <w:sz w:val="32"/>
          <w:szCs w:val="32"/>
          <w:lang w:val="zh-CN"/>
        </w:rPr>
        <w:t>食品专业现有教师19人，高级职称5人（教授1人），中级职称5人。硕士学位16人，35岁以下青年教师均具有硕士学位，已经完成了青年教师硕士化工程，青年教师人数较多，每年均有申请继续深造的教师，现在已形成了一支素质较高、发展潜力巨大、教育背景多元化、勤于钻研，乐于奉献的教师队伍，能满足本专业教学要求。</w:t>
      </w:r>
    </w:p>
    <w:p>
      <w:pPr>
        <w:widowControl/>
        <w:spacing w:line="480" w:lineRule="exact"/>
        <w:jc w:val="center"/>
        <w:textAlignment w:val="center"/>
        <w:rPr>
          <w:rFonts w:hint="eastAsia" w:ascii="宋体" w:hAnsi="宋体" w:cs="宋体"/>
          <w:color w:val="000000"/>
          <w:kern w:val="0"/>
          <w:szCs w:val="21"/>
          <w:lang w:val="zh-CN"/>
        </w:rPr>
      </w:pPr>
    </w:p>
    <w:p>
      <w:pPr>
        <w:widowControl/>
        <w:spacing w:line="480" w:lineRule="exact"/>
        <w:jc w:val="center"/>
        <w:textAlignment w:val="center"/>
        <w:rPr>
          <w:rFonts w:ascii="宋体" w:hAnsi="宋体" w:cs="宋体"/>
          <w:color w:val="000000"/>
          <w:kern w:val="0"/>
          <w:szCs w:val="21"/>
          <w:lang w:val="zh-CN"/>
        </w:rPr>
      </w:pPr>
      <w:r>
        <w:rPr>
          <w:rFonts w:hint="eastAsia" w:ascii="仿宋" w:hAnsi="仿宋" w:eastAsia="仿宋" w:cs="仿宋"/>
          <w:color w:val="000000"/>
          <w:kern w:val="0"/>
          <w:sz w:val="28"/>
          <w:szCs w:val="28"/>
          <w:lang w:val="zh-CN"/>
        </w:rPr>
        <w:t>表2-1  教师结构数据统计表</w:t>
      </w:r>
    </w:p>
    <w:tbl>
      <w:tblPr>
        <w:tblStyle w:val="13"/>
        <w:tblW w:w="852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85"/>
        <w:gridCol w:w="2564"/>
        <w:gridCol w:w="1669"/>
        <w:gridCol w:w="24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exact"/>
          <w:jc w:val="center"/>
        </w:trPr>
        <w:tc>
          <w:tcPr>
            <w:tcW w:w="1885" w:type="dxa"/>
            <w:shd w:val="clear" w:color="000000" w:fill="FFFFFF"/>
            <w:vAlign w:val="center"/>
          </w:tcPr>
          <w:p>
            <w:pPr>
              <w:autoSpaceDE w:val="0"/>
              <w:autoSpaceDN w:val="0"/>
              <w:adjustRightInd w:val="0"/>
              <w:jc w:val="center"/>
              <w:rPr>
                <w:rFonts w:hint="default" w:ascii="Times New Roman" w:hAnsi="Times New Roman" w:eastAsia="仿宋" w:cs="Times New Roman"/>
                <w:color w:val="000000"/>
                <w:kern w:val="0"/>
                <w:sz w:val="21"/>
                <w:szCs w:val="21"/>
                <w:lang w:val="zh-CN"/>
              </w:rPr>
            </w:pPr>
            <w:r>
              <w:rPr>
                <w:rFonts w:hint="default" w:ascii="Times New Roman" w:hAnsi="Times New Roman" w:eastAsia="仿宋" w:cs="Times New Roman"/>
                <w:bCs/>
                <w:color w:val="000000"/>
                <w:kern w:val="0"/>
                <w:sz w:val="21"/>
                <w:szCs w:val="21"/>
                <w:lang w:val="zh-CN"/>
              </w:rPr>
              <w:t>教师人数</w:t>
            </w:r>
          </w:p>
        </w:tc>
        <w:tc>
          <w:tcPr>
            <w:tcW w:w="4233" w:type="dxa"/>
            <w:gridSpan w:val="2"/>
            <w:shd w:val="clear" w:color="000000" w:fill="FFFFFF"/>
            <w:vAlign w:val="center"/>
          </w:tcPr>
          <w:p>
            <w:pPr>
              <w:autoSpaceDE w:val="0"/>
              <w:autoSpaceDN w:val="0"/>
              <w:adjustRightInd w:val="0"/>
              <w:jc w:val="center"/>
              <w:rPr>
                <w:rFonts w:hint="default" w:ascii="Times New Roman" w:hAnsi="Times New Roman" w:eastAsia="仿宋" w:cs="Times New Roman"/>
                <w:color w:val="000000"/>
                <w:kern w:val="0"/>
                <w:sz w:val="21"/>
                <w:szCs w:val="21"/>
                <w:lang w:val="zh-CN"/>
              </w:rPr>
            </w:pPr>
            <w:r>
              <w:rPr>
                <w:rFonts w:hint="default" w:ascii="Times New Roman" w:hAnsi="Times New Roman" w:eastAsia="仿宋" w:cs="Times New Roman"/>
                <w:bCs/>
                <w:color w:val="000000"/>
                <w:kern w:val="0"/>
                <w:sz w:val="21"/>
                <w:szCs w:val="21"/>
              </w:rPr>
              <w:t>19</w:t>
            </w:r>
            <w:r>
              <w:rPr>
                <w:rFonts w:hint="default" w:ascii="Times New Roman" w:hAnsi="Times New Roman" w:eastAsia="仿宋" w:cs="Times New Roman"/>
                <w:bCs/>
                <w:color w:val="000000"/>
                <w:kern w:val="0"/>
                <w:sz w:val="21"/>
                <w:szCs w:val="21"/>
                <w:lang w:val="zh-CN"/>
              </w:rPr>
              <w:t>人</w:t>
            </w:r>
          </w:p>
        </w:tc>
        <w:tc>
          <w:tcPr>
            <w:tcW w:w="2410" w:type="dxa"/>
            <w:shd w:val="clear" w:color="000000" w:fill="FFFFFF"/>
            <w:vAlign w:val="center"/>
          </w:tcPr>
          <w:p>
            <w:pPr>
              <w:autoSpaceDE w:val="0"/>
              <w:autoSpaceDN w:val="0"/>
              <w:adjustRightInd w:val="0"/>
              <w:jc w:val="center"/>
              <w:rPr>
                <w:rFonts w:hint="default" w:ascii="Times New Roman" w:hAnsi="Times New Roman" w:eastAsia="仿宋" w:cs="Times New Roman"/>
                <w:color w:val="000000"/>
                <w:kern w:val="0"/>
                <w:sz w:val="21"/>
                <w:szCs w:val="21"/>
                <w:lang w:val="zh-CN"/>
              </w:rPr>
            </w:pPr>
            <w:r>
              <w:rPr>
                <w:rFonts w:hint="default" w:ascii="Times New Roman" w:hAnsi="Times New Roman" w:eastAsia="仿宋" w:cs="Times New Roman"/>
                <w:bCs/>
                <w:color w:val="000000"/>
                <w:kern w:val="0"/>
                <w:sz w:val="21"/>
                <w:szCs w:val="21"/>
                <w:lang w:val="zh-CN"/>
              </w:rPr>
              <w:t>占总人数比例</w:t>
            </w:r>
            <w:r>
              <w:rPr>
                <w:rFonts w:hint="default" w:ascii="Times New Roman" w:hAnsi="Times New Roman" w:eastAsia="仿宋" w:cs="Times New Roman"/>
                <w:bCs/>
                <w:color w:val="000000"/>
                <w:kern w:val="0"/>
                <w:sz w:val="21"/>
                <w:szCs w:val="21"/>
              </w:rPr>
              <w:t xml:space="preserve"> </w:t>
            </w:r>
            <w:r>
              <w:rPr>
                <w:rFonts w:hint="default" w:ascii="Times New Roman" w:hAnsi="Times New Roman" w:eastAsia="仿宋" w:cs="Times New Roman"/>
                <w:bCs/>
                <w:color w:val="000000"/>
                <w:kern w:val="0"/>
                <w:sz w:val="21"/>
                <w:szCs w:val="21"/>
                <w:lang w:val="zh-CN"/>
              </w:rPr>
              <w:t>(</w:t>
            </w:r>
            <w:r>
              <w:rPr>
                <w:rFonts w:hint="default" w:ascii="Times New Roman" w:hAnsi="Times New Roman" w:eastAsia="仿宋" w:cs="Times New Roman"/>
                <w:bCs/>
                <w:color w:val="000000"/>
                <w:kern w:val="0"/>
                <w:sz w:val="21"/>
                <w:szCs w:val="21"/>
              </w:rPr>
              <w:t>%</w:t>
            </w:r>
            <w:r>
              <w:rPr>
                <w:rFonts w:hint="default" w:ascii="Times New Roman" w:hAnsi="Times New Roman" w:eastAsia="仿宋" w:cs="Times New Roman"/>
                <w:bCs/>
                <w:color w:val="000000"/>
                <w:kern w:val="0"/>
                <w:sz w:val="21"/>
                <w:szCs w:val="21"/>
                <w:lang w:val="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exact"/>
          <w:jc w:val="center"/>
        </w:trPr>
        <w:tc>
          <w:tcPr>
            <w:tcW w:w="1885" w:type="dxa"/>
            <w:vMerge w:val="restart"/>
            <w:shd w:val="clear" w:color="000000" w:fill="FFFFFF"/>
            <w:vAlign w:val="center"/>
          </w:tcPr>
          <w:p>
            <w:pPr>
              <w:autoSpaceDE w:val="0"/>
              <w:autoSpaceDN w:val="0"/>
              <w:adjustRightInd w:val="0"/>
              <w:jc w:val="center"/>
              <w:rPr>
                <w:rFonts w:hint="default" w:ascii="Times New Roman" w:hAnsi="Times New Roman" w:eastAsia="仿宋" w:cs="Times New Roman"/>
                <w:color w:val="000000"/>
                <w:kern w:val="0"/>
                <w:sz w:val="21"/>
                <w:szCs w:val="21"/>
                <w:lang w:val="zh-CN"/>
              </w:rPr>
            </w:pPr>
            <w:r>
              <w:rPr>
                <w:rFonts w:hint="default" w:ascii="Times New Roman" w:hAnsi="Times New Roman" w:eastAsia="仿宋" w:cs="Times New Roman"/>
                <w:bCs/>
                <w:color w:val="000000"/>
                <w:kern w:val="0"/>
                <w:sz w:val="21"/>
                <w:szCs w:val="21"/>
                <w:lang w:val="zh-CN"/>
              </w:rPr>
              <w:t>职称结构</w:t>
            </w:r>
          </w:p>
        </w:tc>
        <w:tc>
          <w:tcPr>
            <w:tcW w:w="2564" w:type="dxa"/>
            <w:shd w:val="clear" w:color="000000" w:fill="FFFFFF"/>
            <w:vAlign w:val="center"/>
          </w:tcPr>
          <w:p>
            <w:pPr>
              <w:autoSpaceDE w:val="0"/>
              <w:autoSpaceDN w:val="0"/>
              <w:adjustRightInd w:val="0"/>
              <w:jc w:val="center"/>
              <w:rPr>
                <w:rFonts w:hint="default" w:ascii="Times New Roman" w:hAnsi="Times New Roman" w:eastAsia="仿宋" w:cs="Times New Roman"/>
                <w:color w:val="000000"/>
                <w:kern w:val="0"/>
                <w:sz w:val="21"/>
                <w:szCs w:val="21"/>
                <w:lang w:val="zh-CN"/>
              </w:rPr>
            </w:pPr>
            <w:r>
              <w:rPr>
                <w:rFonts w:hint="default" w:ascii="Times New Roman" w:hAnsi="Times New Roman" w:eastAsia="仿宋" w:cs="Times New Roman"/>
                <w:color w:val="000000"/>
                <w:kern w:val="0"/>
                <w:sz w:val="21"/>
                <w:szCs w:val="21"/>
                <w:lang w:val="zh-CN"/>
              </w:rPr>
              <w:t>教授</w:t>
            </w:r>
          </w:p>
        </w:tc>
        <w:tc>
          <w:tcPr>
            <w:tcW w:w="1669" w:type="dxa"/>
            <w:shd w:val="clear" w:color="000000" w:fill="FFFFFF"/>
            <w:vAlign w:val="center"/>
          </w:tcPr>
          <w:p>
            <w:pPr>
              <w:autoSpaceDE w:val="0"/>
              <w:autoSpaceDN w:val="0"/>
              <w:adjustRightInd w:val="0"/>
              <w:jc w:val="center"/>
              <w:rPr>
                <w:rFonts w:hint="default" w:ascii="Times New Roman" w:hAnsi="Times New Roman" w:eastAsia="仿宋" w:cs="Times New Roman"/>
                <w:color w:val="000000"/>
                <w:kern w:val="0"/>
                <w:sz w:val="21"/>
                <w:szCs w:val="21"/>
                <w:lang w:val="zh-CN"/>
              </w:rPr>
            </w:pPr>
            <w:r>
              <w:rPr>
                <w:rFonts w:hint="default" w:ascii="Times New Roman" w:hAnsi="Times New Roman" w:eastAsia="仿宋" w:cs="Times New Roman"/>
                <w:color w:val="000000"/>
                <w:kern w:val="0"/>
                <w:sz w:val="21"/>
                <w:szCs w:val="21"/>
              </w:rPr>
              <w:t>1</w:t>
            </w:r>
            <w:r>
              <w:rPr>
                <w:rFonts w:hint="default" w:ascii="Times New Roman" w:hAnsi="Times New Roman" w:eastAsia="仿宋" w:cs="Times New Roman"/>
                <w:color w:val="000000"/>
                <w:kern w:val="0"/>
                <w:sz w:val="21"/>
                <w:szCs w:val="21"/>
                <w:lang w:val="zh-CN"/>
              </w:rPr>
              <w:t>人</w:t>
            </w:r>
          </w:p>
        </w:tc>
        <w:tc>
          <w:tcPr>
            <w:tcW w:w="2410" w:type="dxa"/>
            <w:shd w:val="clear" w:color="000000" w:fill="FFFFFF"/>
            <w:vAlign w:val="center"/>
          </w:tcPr>
          <w:p>
            <w:pPr>
              <w:jc w:val="center"/>
              <w:textAlignment w:val="center"/>
              <w:rPr>
                <w:rFonts w:hint="default" w:ascii="Times New Roman" w:hAnsi="Times New Roman" w:eastAsia="仿宋" w:cs="Times New Roman"/>
                <w:color w:val="000000"/>
                <w:kern w:val="0"/>
                <w:sz w:val="21"/>
                <w:szCs w:val="21"/>
                <w:lang w:val="zh-CN"/>
              </w:rPr>
            </w:pPr>
            <w:r>
              <w:rPr>
                <w:rFonts w:hint="default" w:ascii="Times New Roman" w:hAnsi="Times New Roman" w:eastAsia="仿宋" w:cs="Times New Roman"/>
                <w:kern w:val="0"/>
                <w:sz w:val="21"/>
                <w:szCs w:val="21"/>
              </w:rPr>
              <w:t>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exact"/>
          <w:jc w:val="center"/>
        </w:trPr>
        <w:tc>
          <w:tcPr>
            <w:tcW w:w="1885" w:type="dxa"/>
            <w:vMerge w:val="continue"/>
            <w:shd w:val="clear" w:color="000000" w:fill="FFFFFF"/>
            <w:vAlign w:val="center"/>
          </w:tcPr>
          <w:p>
            <w:pPr>
              <w:autoSpaceDE w:val="0"/>
              <w:autoSpaceDN w:val="0"/>
              <w:adjustRightInd w:val="0"/>
              <w:jc w:val="center"/>
              <w:rPr>
                <w:rFonts w:hint="default" w:ascii="Times New Roman" w:hAnsi="Times New Roman" w:eastAsia="仿宋" w:cs="Times New Roman"/>
                <w:color w:val="000000"/>
                <w:kern w:val="0"/>
                <w:sz w:val="21"/>
                <w:szCs w:val="21"/>
                <w:lang w:val="zh-CN"/>
              </w:rPr>
            </w:pPr>
          </w:p>
        </w:tc>
        <w:tc>
          <w:tcPr>
            <w:tcW w:w="2564" w:type="dxa"/>
            <w:shd w:val="clear" w:color="000000" w:fill="FFFFFF"/>
            <w:vAlign w:val="center"/>
          </w:tcPr>
          <w:p>
            <w:pPr>
              <w:autoSpaceDE w:val="0"/>
              <w:autoSpaceDN w:val="0"/>
              <w:adjustRightInd w:val="0"/>
              <w:jc w:val="center"/>
              <w:rPr>
                <w:rFonts w:hint="default" w:ascii="Times New Roman" w:hAnsi="Times New Roman" w:eastAsia="仿宋" w:cs="Times New Roman"/>
                <w:color w:val="000000"/>
                <w:kern w:val="0"/>
                <w:sz w:val="21"/>
                <w:szCs w:val="21"/>
                <w:lang w:val="zh-CN"/>
              </w:rPr>
            </w:pPr>
            <w:r>
              <w:rPr>
                <w:rFonts w:hint="default" w:ascii="Times New Roman" w:hAnsi="Times New Roman" w:eastAsia="仿宋" w:cs="Times New Roman"/>
                <w:color w:val="000000"/>
                <w:kern w:val="0"/>
                <w:sz w:val="21"/>
                <w:szCs w:val="21"/>
                <w:lang w:val="zh-CN"/>
              </w:rPr>
              <w:t>副</w:t>
            </w:r>
            <w:r>
              <w:rPr>
                <w:rFonts w:hint="default" w:ascii="Times New Roman" w:hAnsi="Times New Roman" w:eastAsia="仿宋" w:cs="Times New Roman"/>
                <w:color w:val="000000"/>
                <w:kern w:val="0"/>
                <w:sz w:val="21"/>
                <w:szCs w:val="21"/>
              </w:rPr>
              <w:t>教授</w:t>
            </w:r>
          </w:p>
        </w:tc>
        <w:tc>
          <w:tcPr>
            <w:tcW w:w="1669" w:type="dxa"/>
            <w:shd w:val="clear" w:color="000000" w:fill="FFFFFF"/>
            <w:vAlign w:val="center"/>
          </w:tcPr>
          <w:p>
            <w:pPr>
              <w:autoSpaceDE w:val="0"/>
              <w:autoSpaceDN w:val="0"/>
              <w:adjustRightInd w:val="0"/>
              <w:jc w:val="center"/>
              <w:rPr>
                <w:rFonts w:hint="default" w:ascii="Times New Roman" w:hAnsi="Times New Roman" w:eastAsia="仿宋" w:cs="Times New Roman"/>
                <w:color w:val="000000"/>
                <w:kern w:val="0"/>
                <w:sz w:val="21"/>
                <w:szCs w:val="21"/>
                <w:lang w:val="zh-CN"/>
              </w:rPr>
            </w:pPr>
            <w:r>
              <w:rPr>
                <w:rFonts w:hint="default" w:ascii="Times New Roman" w:hAnsi="Times New Roman" w:eastAsia="仿宋" w:cs="Times New Roman"/>
                <w:color w:val="000000"/>
                <w:kern w:val="0"/>
                <w:sz w:val="21"/>
                <w:szCs w:val="21"/>
              </w:rPr>
              <w:t>4</w:t>
            </w:r>
            <w:r>
              <w:rPr>
                <w:rFonts w:hint="default" w:ascii="Times New Roman" w:hAnsi="Times New Roman" w:eastAsia="仿宋" w:cs="Times New Roman"/>
                <w:color w:val="000000"/>
                <w:kern w:val="0"/>
                <w:sz w:val="21"/>
                <w:szCs w:val="21"/>
                <w:lang w:val="zh-CN"/>
              </w:rPr>
              <w:t>人</w:t>
            </w:r>
          </w:p>
        </w:tc>
        <w:tc>
          <w:tcPr>
            <w:tcW w:w="2410" w:type="dxa"/>
            <w:shd w:val="clear" w:color="000000" w:fill="FFFFFF"/>
            <w:vAlign w:val="center"/>
          </w:tcPr>
          <w:p>
            <w:pPr>
              <w:jc w:val="center"/>
              <w:textAlignment w:val="center"/>
              <w:rPr>
                <w:rFonts w:hint="default" w:ascii="Times New Roman" w:hAnsi="Times New Roman" w:eastAsia="仿宋" w:cs="Times New Roman"/>
                <w:color w:val="000000"/>
                <w:kern w:val="0"/>
                <w:sz w:val="21"/>
                <w:szCs w:val="21"/>
                <w:lang w:val="zh-CN"/>
              </w:rPr>
            </w:pPr>
            <w:r>
              <w:rPr>
                <w:rFonts w:hint="default" w:ascii="Times New Roman" w:hAnsi="Times New Roman" w:eastAsia="仿宋" w:cs="Times New Roman"/>
                <w:kern w:val="0"/>
                <w:sz w:val="21"/>
                <w:szCs w:val="21"/>
              </w:rPr>
              <w:t>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exact"/>
          <w:jc w:val="center"/>
        </w:trPr>
        <w:tc>
          <w:tcPr>
            <w:tcW w:w="1885" w:type="dxa"/>
            <w:vMerge w:val="continue"/>
            <w:shd w:val="clear" w:color="000000" w:fill="FFFFFF"/>
            <w:vAlign w:val="center"/>
          </w:tcPr>
          <w:p>
            <w:pPr>
              <w:autoSpaceDE w:val="0"/>
              <w:autoSpaceDN w:val="0"/>
              <w:adjustRightInd w:val="0"/>
              <w:jc w:val="center"/>
              <w:rPr>
                <w:rFonts w:hint="default" w:ascii="Times New Roman" w:hAnsi="Times New Roman" w:eastAsia="仿宋" w:cs="Times New Roman"/>
                <w:color w:val="000000"/>
                <w:kern w:val="0"/>
                <w:sz w:val="21"/>
                <w:szCs w:val="21"/>
                <w:lang w:val="zh-CN"/>
              </w:rPr>
            </w:pPr>
          </w:p>
        </w:tc>
        <w:tc>
          <w:tcPr>
            <w:tcW w:w="2564" w:type="dxa"/>
            <w:shd w:val="clear" w:color="000000" w:fill="FFFFFF"/>
            <w:vAlign w:val="center"/>
          </w:tcPr>
          <w:p>
            <w:pPr>
              <w:autoSpaceDE w:val="0"/>
              <w:autoSpaceDN w:val="0"/>
              <w:adjustRightInd w:val="0"/>
              <w:jc w:val="center"/>
              <w:rPr>
                <w:rFonts w:hint="default" w:ascii="Times New Roman" w:hAnsi="Times New Roman" w:eastAsia="仿宋" w:cs="Times New Roman"/>
                <w:color w:val="000000"/>
                <w:kern w:val="0"/>
                <w:sz w:val="21"/>
                <w:szCs w:val="21"/>
                <w:lang w:val="zh-CN"/>
              </w:rPr>
            </w:pPr>
            <w:r>
              <w:rPr>
                <w:rFonts w:hint="default" w:ascii="Times New Roman" w:hAnsi="Times New Roman" w:eastAsia="仿宋" w:cs="Times New Roman"/>
                <w:color w:val="000000"/>
                <w:kern w:val="0"/>
                <w:sz w:val="21"/>
                <w:szCs w:val="21"/>
              </w:rPr>
              <w:t>讲师</w:t>
            </w:r>
          </w:p>
        </w:tc>
        <w:tc>
          <w:tcPr>
            <w:tcW w:w="1669" w:type="dxa"/>
            <w:shd w:val="clear" w:color="000000" w:fill="FFFFFF"/>
            <w:vAlign w:val="center"/>
          </w:tcPr>
          <w:p>
            <w:pPr>
              <w:autoSpaceDE w:val="0"/>
              <w:autoSpaceDN w:val="0"/>
              <w:adjustRightInd w:val="0"/>
              <w:jc w:val="center"/>
              <w:rPr>
                <w:rFonts w:hint="default" w:ascii="Times New Roman" w:hAnsi="Times New Roman" w:eastAsia="仿宋" w:cs="Times New Roman"/>
                <w:color w:val="000000"/>
                <w:kern w:val="0"/>
                <w:sz w:val="21"/>
                <w:szCs w:val="21"/>
                <w:lang w:val="zh-CN"/>
              </w:rPr>
            </w:pPr>
            <w:r>
              <w:rPr>
                <w:rFonts w:hint="default" w:ascii="Times New Roman" w:hAnsi="Times New Roman" w:eastAsia="仿宋" w:cs="Times New Roman"/>
                <w:color w:val="000000"/>
                <w:kern w:val="0"/>
                <w:sz w:val="21"/>
                <w:szCs w:val="21"/>
              </w:rPr>
              <w:t>5</w:t>
            </w:r>
            <w:r>
              <w:rPr>
                <w:rFonts w:hint="default" w:ascii="Times New Roman" w:hAnsi="Times New Roman" w:eastAsia="仿宋" w:cs="Times New Roman"/>
                <w:color w:val="000000"/>
                <w:kern w:val="0"/>
                <w:sz w:val="21"/>
                <w:szCs w:val="21"/>
                <w:lang w:val="zh-CN"/>
              </w:rPr>
              <w:t>人</w:t>
            </w:r>
          </w:p>
        </w:tc>
        <w:tc>
          <w:tcPr>
            <w:tcW w:w="2410" w:type="dxa"/>
            <w:shd w:val="clear" w:color="000000" w:fill="FFFFFF"/>
            <w:vAlign w:val="center"/>
          </w:tcPr>
          <w:p>
            <w:pPr>
              <w:jc w:val="center"/>
              <w:textAlignment w:val="center"/>
              <w:rPr>
                <w:rFonts w:hint="default" w:ascii="Times New Roman" w:hAnsi="Times New Roman" w:eastAsia="仿宋" w:cs="Times New Roman"/>
                <w:color w:val="000000"/>
                <w:kern w:val="0"/>
                <w:sz w:val="21"/>
                <w:szCs w:val="21"/>
                <w:lang w:val="zh-CN"/>
              </w:rPr>
            </w:pPr>
            <w:r>
              <w:rPr>
                <w:rFonts w:hint="default" w:ascii="Times New Roman" w:hAnsi="Times New Roman" w:eastAsia="仿宋" w:cs="Times New Roman"/>
                <w:kern w:val="0"/>
                <w:sz w:val="21"/>
                <w:szCs w:val="21"/>
              </w:rPr>
              <w:t>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exact"/>
          <w:jc w:val="center"/>
        </w:trPr>
        <w:tc>
          <w:tcPr>
            <w:tcW w:w="1885" w:type="dxa"/>
            <w:vMerge w:val="continue"/>
            <w:shd w:val="clear" w:color="000000" w:fill="FFFFFF"/>
            <w:vAlign w:val="center"/>
          </w:tcPr>
          <w:p>
            <w:pPr>
              <w:autoSpaceDE w:val="0"/>
              <w:autoSpaceDN w:val="0"/>
              <w:adjustRightInd w:val="0"/>
              <w:jc w:val="center"/>
              <w:rPr>
                <w:rFonts w:hint="default" w:ascii="Times New Roman" w:hAnsi="Times New Roman" w:eastAsia="仿宋" w:cs="Times New Roman"/>
                <w:color w:val="000000"/>
                <w:kern w:val="0"/>
                <w:sz w:val="21"/>
                <w:szCs w:val="21"/>
                <w:lang w:val="zh-CN"/>
              </w:rPr>
            </w:pPr>
          </w:p>
        </w:tc>
        <w:tc>
          <w:tcPr>
            <w:tcW w:w="2564" w:type="dxa"/>
            <w:shd w:val="clear" w:color="000000" w:fill="FFFFFF"/>
            <w:vAlign w:val="center"/>
          </w:tcPr>
          <w:p>
            <w:pPr>
              <w:autoSpaceDE w:val="0"/>
              <w:autoSpaceDN w:val="0"/>
              <w:adjustRightInd w:val="0"/>
              <w:jc w:val="center"/>
              <w:rPr>
                <w:rFonts w:hint="default" w:ascii="Times New Roman" w:hAnsi="Times New Roman" w:eastAsia="仿宋" w:cs="Times New Roman"/>
                <w:color w:val="000000"/>
                <w:kern w:val="0"/>
                <w:sz w:val="21"/>
                <w:szCs w:val="21"/>
                <w:lang w:val="zh-CN"/>
              </w:rPr>
            </w:pPr>
            <w:r>
              <w:rPr>
                <w:rFonts w:hint="default" w:ascii="Times New Roman" w:hAnsi="Times New Roman" w:eastAsia="仿宋" w:cs="Times New Roman"/>
                <w:color w:val="000000"/>
                <w:kern w:val="0"/>
                <w:sz w:val="21"/>
                <w:szCs w:val="21"/>
                <w:lang w:val="zh-CN"/>
              </w:rPr>
              <w:t>助教以下</w:t>
            </w:r>
          </w:p>
        </w:tc>
        <w:tc>
          <w:tcPr>
            <w:tcW w:w="1669" w:type="dxa"/>
            <w:shd w:val="clear" w:color="000000" w:fill="FFFFFF"/>
            <w:vAlign w:val="center"/>
          </w:tcPr>
          <w:p>
            <w:pPr>
              <w:autoSpaceDE w:val="0"/>
              <w:autoSpaceDN w:val="0"/>
              <w:adjustRightInd w:val="0"/>
              <w:jc w:val="center"/>
              <w:rPr>
                <w:rFonts w:hint="default" w:ascii="Times New Roman" w:hAnsi="Times New Roman" w:eastAsia="仿宋" w:cs="Times New Roman"/>
                <w:color w:val="000000"/>
                <w:kern w:val="0"/>
                <w:sz w:val="21"/>
                <w:szCs w:val="21"/>
                <w:lang w:val="zh-CN"/>
              </w:rPr>
            </w:pPr>
            <w:r>
              <w:rPr>
                <w:rFonts w:hint="default" w:ascii="Times New Roman" w:hAnsi="Times New Roman" w:eastAsia="仿宋" w:cs="Times New Roman"/>
                <w:color w:val="000000"/>
                <w:kern w:val="0"/>
                <w:sz w:val="21"/>
                <w:szCs w:val="21"/>
              </w:rPr>
              <w:t>9</w:t>
            </w:r>
            <w:r>
              <w:rPr>
                <w:rFonts w:hint="default" w:ascii="Times New Roman" w:hAnsi="Times New Roman" w:eastAsia="仿宋" w:cs="Times New Roman"/>
                <w:color w:val="000000"/>
                <w:kern w:val="0"/>
                <w:sz w:val="21"/>
                <w:szCs w:val="21"/>
                <w:lang w:val="zh-CN"/>
              </w:rPr>
              <w:t>人</w:t>
            </w:r>
          </w:p>
        </w:tc>
        <w:tc>
          <w:tcPr>
            <w:tcW w:w="2410" w:type="dxa"/>
            <w:shd w:val="clear" w:color="000000" w:fill="FFFFFF"/>
            <w:vAlign w:val="center"/>
          </w:tcPr>
          <w:p>
            <w:pPr>
              <w:jc w:val="center"/>
              <w:textAlignment w:val="center"/>
              <w:rPr>
                <w:rFonts w:hint="default" w:ascii="Times New Roman" w:hAnsi="Times New Roman" w:eastAsia="仿宋" w:cs="Times New Roman"/>
                <w:color w:val="000000"/>
                <w:kern w:val="0"/>
                <w:sz w:val="21"/>
                <w:szCs w:val="21"/>
                <w:lang w:val="zh-CN"/>
              </w:rPr>
            </w:pPr>
            <w:r>
              <w:rPr>
                <w:rFonts w:hint="default" w:ascii="Times New Roman" w:hAnsi="Times New Roman" w:eastAsia="仿宋" w:cs="Times New Roman"/>
                <w:kern w:val="0"/>
                <w:sz w:val="21"/>
                <w:szCs w:val="21"/>
                <w:lang w:val="zh-CN"/>
              </w:rPr>
              <w:t>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exact"/>
          <w:jc w:val="center"/>
        </w:trPr>
        <w:tc>
          <w:tcPr>
            <w:tcW w:w="1885" w:type="dxa"/>
            <w:vMerge w:val="restart"/>
            <w:shd w:val="clear" w:color="000000" w:fill="FFFFFF"/>
            <w:vAlign w:val="center"/>
          </w:tcPr>
          <w:p>
            <w:pPr>
              <w:autoSpaceDE w:val="0"/>
              <w:autoSpaceDN w:val="0"/>
              <w:adjustRightInd w:val="0"/>
              <w:jc w:val="center"/>
              <w:rPr>
                <w:rFonts w:hint="default" w:ascii="Times New Roman" w:hAnsi="Times New Roman" w:eastAsia="仿宋" w:cs="Times New Roman"/>
                <w:color w:val="000000"/>
                <w:kern w:val="0"/>
                <w:sz w:val="21"/>
                <w:szCs w:val="21"/>
                <w:lang w:val="zh-CN"/>
              </w:rPr>
            </w:pPr>
            <w:r>
              <w:rPr>
                <w:rFonts w:hint="default" w:ascii="Times New Roman" w:hAnsi="Times New Roman" w:eastAsia="仿宋" w:cs="Times New Roman"/>
                <w:bCs/>
                <w:color w:val="000000"/>
                <w:kern w:val="0"/>
                <w:sz w:val="21"/>
                <w:szCs w:val="21"/>
                <w:lang w:val="zh-CN"/>
              </w:rPr>
              <w:t>学历结构</w:t>
            </w:r>
          </w:p>
        </w:tc>
        <w:tc>
          <w:tcPr>
            <w:tcW w:w="2564" w:type="dxa"/>
            <w:shd w:val="clear" w:color="000000" w:fill="FFFFFF"/>
            <w:vAlign w:val="center"/>
          </w:tcPr>
          <w:p>
            <w:pPr>
              <w:autoSpaceDE w:val="0"/>
              <w:autoSpaceDN w:val="0"/>
              <w:adjustRightInd w:val="0"/>
              <w:jc w:val="center"/>
              <w:rPr>
                <w:rFonts w:hint="default" w:ascii="Times New Roman" w:hAnsi="Times New Roman" w:eastAsia="仿宋" w:cs="Times New Roman"/>
                <w:color w:val="000000"/>
                <w:kern w:val="0"/>
                <w:sz w:val="21"/>
                <w:szCs w:val="21"/>
                <w:lang w:val="zh-CN"/>
              </w:rPr>
            </w:pPr>
            <w:r>
              <w:rPr>
                <w:rFonts w:hint="default" w:ascii="Times New Roman" w:hAnsi="Times New Roman" w:eastAsia="仿宋" w:cs="Times New Roman"/>
                <w:color w:val="000000"/>
                <w:kern w:val="0"/>
                <w:sz w:val="21"/>
                <w:szCs w:val="21"/>
                <w:lang w:val="zh-CN"/>
              </w:rPr>
              <w:t>博士学位</w:t>
            </w:r>
          </w:p>
        </w:tc>
        <w:tc>
          <w:tcPr>
            <w:tcW w:w="1669" w:type="dxa"/>
            <w:shd w:val="clear" w:color="000000" w:fill="FFFFFF"/>
            <w:vAlign w:val="center"/>
          </w:tcPr>
          <w:p>
            <w:pPr>
              <w:autoSpaceDE w:val="0"/>
              <w:autoSpaceDN w:val="0"/>
              <w:adjustRightInd w:val="0"/>
              <w:jc w:val="center"/>
              <w:rPr>
                <w:rFonts w:hint="default" w:ascii="Times New Roman" w:hAnsi="Times New Roman" w:eastAsia="仿宋" w:cs="Times New Roman"/>
                <w:color w:val="000000"/>
                <w:kern w:val="0"/>
                <w:sz w:val="21"/>
                <w:szCs w:val="21"/>
                <w:lang w:val="zh-CN"/>
              </w:rPr>
            </w:pPr>
            <w:r>
              <w:rPr>
                <w:rFonts w:hint="default" w:ascii="Times New Roman" w:hAnsi="Times New Roman" w:eastAsia="仿宋" w:cs="Times New Roman"/>
                <w:color w:val="000000"/>
                <w:kern w:val="0"/>
                <w:sz w:val="21"/>
                <w:szCs w:val="21"/>
                <w:lang w:val="zh-CN"/>
              </w:rPr>
              <w:t>0人</w:t>
            </w:r>
          </w:p>
        </w:tc>
        <w:tc>
          <w:tcPr>
            <w:tcW w:w="2410" w:type="dxa"/>
            <w:shd w:val="clear" w:color="000000" w:fill="FFFFFF"/>
            <w:vAlign w:val="center"/>
          </w:tcPr>
          <w:p>
            <w:pPr>
              <w:jc w:val="center"/>
              <w:textAlignment w:val="center"/>
              <w:rPr>
                <w:rFonts w:hint="default" w:ascii="Times New Roman" w:hAnsi="Times New Roman" w:eastAsia="仿宋" w:cs="Times New Roman"/>
                <w:color w:val="000000"/>
                <w:kern w:val="0"/>
                <w:sz w:val="21"/>
                <w:szCs w:val="21"/>
                <w:lang w:val="zh-CN"/>
              </w:rPr>
            </w:pPr>
            <w:r>
              <w:rPr>
                <w:rFonts w:hint="default" w:ascii="Times New Roman" w:hAnsi="Times New Roman" w:eastAsia="仿宋" w:cs="Times New Roman"/>
                <w:kern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exact"/>
          <w:jc w:val="center"/>
        </w:trPr>
        <w:tc>
          <w:tcPr>
            <w:tcW w:w="1885" w:type="dxa"/>
            <w:vMerge w:val="continue"/>
            <w:shd w:val="clear" w:color="000000" w:fill="FFFFFF"/>
            <w:vAlign w:val="center"/>
          </w:tcPr>
          <w:p>
            <w:pPr>
              <w:autoSpaceDE w:val="0"/>
              <w:autoSpaceDN w:val="0"/>
              <w:adjustRightInd w:val="0"/>
              <w:jc w:val="center"/>
              <w:rPr>
                <w:rFonts w:hint="default" w:ascii="Times New Roman" w:hAnsi="Times New Roman" w:eastAsia="仿宋" w:cs="Times New Roman"/>
                <w:color w:val="000000"/>
                <w:kern w:val="0"/>
                <w:sz w:val="21"/>
                <w:szCs w:val="21"/>
                <w:lang w:val="zh-CN"/>
              </w:rPr>
            </w:pPr>
          </w:p>
        </w:tc>
        <w:tc>
          <w:tcPr>
            <w:tcW w:w="2564" w:type="dxa"/>
            <w:shd w:val="clear" w:color="000000" w:fill="FFFFFF"/>
            <w:vAlign w:val="center"/>
          </w:tcPr>
          <w:p>
            <w:pPr>
              <w:autoSpaceDE w:val="0"/>
              <w:autoSpaceDN w:val="0"/>
              <w:adjustRightInd w:val="0"/>
              <w:jc w:val="center"/>
              <w:rPr>
                <w:rFonts w:hint="default" w:ascii="Times New Roman" w:hAnsi="Times New Roman" w:eastAsia="仿宋" w:cs="Times New Roman"/>
                <w:color w:val="000000"/>
                <w:kern w:val="0"/>
                <w:sz w:val="21"/>
                <w:szCs w:val="21"/>
                <w:lang w:val="zh-CN"/>
              </w:rPr>
            </w:pPr>
            <w:r>
              <w:rPr>
                <w:rFonts w:hint="default" w:ascii="Times New Roman" w:hAnsi="Times New Roman" w:eastAsia="仿宋" w:cs="Times New Roman"/>
                <w:color w:val="000000"/>
                <w:kern w:val="0"/>
                <w:sz w:val="21"/>
                <w:szCs w:val="21"/>
                <w:lang w:val="zh-CN"/>
              </w:rPr>
              <w:t>硕士学位</w:t>
            </w:r>
          </w:p>
        </w:tc>
        <w:tc>
          <w:tcPr>
            <w:tcW w:w="1669" w:type="dxa"/>
            <w:shd w:val="clear" w:color="000000" w:fill="FFFFFF"/>
            <w:vAlign w:val="center"/>
          </w:tcPr>
          <w:p>
            <w:pPr>
              <w:autoSpaceDE w:val="0"/>
              <w:autoSpaceDN w:val="0"/>
              <w:adjustRightInd w:val="0"/>
              <w:jc w:val="center"/>
              <w:rPr>
                <w:rFonts w:hint="default" w:ascii="Times New Roman" w:hAnsi="Times New Roman" w:eastAsia="仿宋" w:cs="Times New Roman"/>
                <w:color w:val="000000"/>
                <w:kern w:val="0"/>
                <w:sz w:val="21"/>
                <w:szCs w:val="21"/>
                <w:lang w:val="zh-CN"/>
              </w:rPr>
            </w:pPr>
            <w:r>
              <w:rPr>
                <w:rFonts w:hint="default" w:ascii="Times New Roman" w:hAnsi="Times New Roman" w:eastAsia="仿宋" w:cs="Times New Roman"/>
                <w:color w:val="000000"/>
                <w:kern w:val="0"/>
                <w:sz w:val="21"/>
                <w:szCs w:val="21"/>
                <w:lang w:val="zh-CN"/>
              </w:rPr>
              <w:t>16人</w:t>
            </w:r>
          </w:p>
        </w:tc>
        <w:tc>
          <w:tcPr>
            <w:tcW w:w="2410" w:type="dxa"/>
            <w:shd w:val="clear" w:color="000000" w:fill="FFFFFF"/>
            <w:vAlign w:val="center"/>
          </w:tcPr>
          <w:p>
            <w:pPr>
              <w:jc w:val="center"/>
              <w:textAlignment w:val="center"/>
              <w:rPr>
                <w:rFonts w:hint="default" w:ascii="Times New Roman" w:hAnsi="Times New Roman" w:eastAsia="仿宋" w:cs="Times New Roman"/>
                <w:color w:val="000000"/>
                <w:kern w:val="0"/>
                <w:sz w:val="21"/>
                <w:szCs w:val="21"/>
                <w:lang w:val="zh-CN"/>
              </w:rPr>
            </w:pPr>
            <w:r>
              <w:rPr>
                <w:rFonts w:hint="default" w:ascii="Times New Roman" w:hAnsi="Times New Roman" w:eastAsia="仿宋" w:cs="Times New Roman"/>
                <w:kern w:val="0"/>
                <w:sz w:val="21"/>
                <w:szCs w:val="21"/>
              </w:rPr>
              <w:t>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exact"/>
          <w:jc w:val="center"/>
        </w:trPr>
        <w:tc>
          <w:tcPr>
            <w:tcW w:w="1885" w:type="dxa"/>
            <w:vMerge w:val="continue"/>
            <w:shd w:val="clear" w:color="000000" w:fill="FFFFFF"/>
            <w:vAlign w:val="center"/>
          </w:tcPr>
          <w:p>
            <w:pPr>
              <w:autoSpaceDE w:val="0"/>
              <w:autoSpaceDN w:val="0"/>
              <w:adjustRightInd w:val="0"/>
              <w:jc w:val="center"/>
              <w:rPr>
                <w:rFonts w:hint="default" w:ascii="Times New Roman" w:hAnsi="Times New Roman" w:eastAsia="仿宋" w:cs="Times New Roman"/>
                <w:color w:val="000000"/>
                <w:kern w:val="0"/>
                <w:sz w:val="21"/>
                <w:szCs w:val="21"/>
                <w:lang w:val="zh-CN"/>
              </w:rPr>
            </w:pPr>
          </w:p>
        </w:tc>
        <w:tc>
          <w:tcPr>
            <w:tcW w:w="2564" w:type="dxa"/>
            <w:shd w:val="clear" w:color="000000" w:fill="FFFFFF"/>
            <w:vAlign w:val="center"/>
          </w:tcPr>
          <w:p>
            <w:pPr>
              <w:autoSpaceDE w:val="0"/>
              <w:autoSpaceDN w:val="0"/>
              <w:adjustRightInd w:val="0"/>
              <w:jc w:val="center"/>
              <w:rPr>
                <w:rFonts w:hint="default" w:ascii="Times New Roman" w:hAnsi="Times New Roman" w:eastAsia="仿宋" w:cs="Times New Roman"/>
                <w:color w:val="000000"/>
                <w:kern w:val="0"/>
                <w:sz w:val="21"/>
                <w:szCs w:val="21"/>
                <w:lang w:val="zh-CN"/>
              </w:rPr>
            </w:pPr>
            <w:r>
              <w:rPr>
                <w:rFonts w:hint="default" w:ascii="Times New Roman" w:hAnsi="Times New Roman" w:eastAsia="仿宋" w:cs="Times New Roman"/>
                <w:color w:val="000000"/>
                <w:kern w:val="0"/>
                <w:sz w:val="21"/>
                <w:szCs w:val="21"/>
                <w:lang w:val="zh-CN"/>
              </w:rPr>
              <w:t>学士学位</w:t>
            </w:r>
          </w:p>
        </w:tc>
        <w:tc>
          <w:tcPr>
            <w:tcW w:w="1669" w:type="dxa"/>
            <w:shd w:val="clear" w:color="000000" w:fill="FFFFFF"/>
            <w:vAlign w:val="center"/>
          </w:tcPr>
          <w:p>
            <w:pPr>
              <w:autoSpaceDE w:val="0"/>
              <w:autoSpaceDN w:val="0"/>
              <w:adjustRightInd w:val="0"/>
              <w:jc w:val="center"/>
              <w:rPr>
                <w:rFonts w:hint="default" w:ascii="Times New Roman" w:hAnsi="Times New Roman" w:eastAsia="仿宋" w:cs="Times New Roman"/>
                <w:color w:val="000000"/>
                <w:kern w:val="0"/>
                <w:sz w:val="21"/>
                <w:szCs w:val="21"/>
                <w:lang w:val="zh-CN"/>
              </w:rPr>
            </w:pPr>
            <w:r>
              <w:rPr>
                <w:rFonts w:hint="default" w:ascii="Times New Roman" w:hAnsi="Times New Roman" w:eastAsia="仿宋" w:cs="Times New Roman"/>
                <w:color w:val="000000"/>
                <w:kern w:val="0"/>
                <w:sz w:val="21"/>
                <w:szCs w:val="21"/>
                <w:lang w:val="zh-CN"/>
              </w:rPr>
              <w:t>3人</w:t>
            </w:r>
          </w:p>
        </w:tc>
        <w:tc>
          <w:tcPr>
            <w:tcW w:w="2410" w:type="dxa"/>
            <w:shd w:val="clear" w:color="000000" w:fill="FFFFFF"/>
            <w:vAlign w:val="center"/>
          </w:tcPr>
          <w:p>
            <w:pPr>
              <w:jc w:val="center"/>
              <w:textAlignment w:val="center"/>
              <w:rPr>
                <w:rFonts w:hint="default" w:ascii="Times New Roman" w:hAnsi="Times New Roman" w:eastAsia="仿宋" w:cs="Times New Roman"/>
                <w:color w:val="000000"/>
                <w:kern w:val="0"/>
                <w:sz w:val="21"/>
                <w:szCs w:val="21"/>
                <w:lang w:val="zh-CN"/>
              </w:rPr>
            </w:pPr>
            <w:r>
              <w:rPr>
                <w:rFonts w:hint="default" w:ascii="Times New Roman" w:hAnsi="Times New Roman" w:eastAsia="仿宋" w:cs="Times New Roman"/>
                <w:kern w:val="0"/>
                <w:sz w:val="21"/>
                <w:szCs w:val="21"/>
              </w:rPr>
              <w:t>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exact"/>
          <w:jc w:val="center"/>
        </w:trPr>
        <w:tc>
          <w:tcPr>
            <w:tcW w:w="1885" w:type="dxa"/>
            <w:vMerge w:val="restart"/>
            <w:shd w:val="clear" w:color="000000" w:fill="FFFFFF"/>
            <w:vAlign w:val="center"/>
          </w:tcPr>
          <w:p>
            <w:pPr>
              <w:autoSpaceDE w:val="0"/>
              <w:autoSpaceDN w:val="0"/>
              <w:adjustRightInd w:val="0"/>
              <w:jc w:val="center"/>
              <w:rPr>
                <w:rFonts w:hint="default" w:ascii="Times New Roman" w:hAnsi="Times New Roman" w:eastAsia="仿宋" w:cs="Times New Roman"/>
                <w:color w:val="000000"/>
                <w:kern w:val="0"/>
                <w:sz w:val="21"/>
                <w:szCs w:val="21"/>
                <w:lang w:val="zh-CN"/>
              </w:rPr>
            </w:pPr>
            <w:r>
              <w:rPr>
                <w:rFonts w:hint="default" w:ascii="Times New Roman" w:hAnsi="Times New Roman" w:eastAsia="仿宋" w:cs="Times New Roman"/>
                <w:bCs/>
                <w:color w:val="000000"/>
                <w:kern w:val="0"/>
                <w:sz w:val="21"/>
                <w:szCs w:val="21"/>
                <w:lang w:val="zh-CN"/>
              </w:rPr>
              <w:t>年龄结构</w:t>
            </w:r>
          </w:p>
        </w:tc>
        <w:tc>
          <w:tcPr>
            <w:tcW w:w="2564" w:type="dxa"/>
            <w:shd w:val="clear" w:color="000000" w:fill="FFFFFF"/>
            <w:vAlign w:val="center"/>
          </w:tcPr>
          <w:p>
            <w:pPr>
              <w:autoSpaceDE w:val="0"/>
              <w:autoSpaceDN w:val="0"/>
              <w:adjustRightInd w:val="0"/>
              <w:jc w:val="center"/>
              <w:rPr>
                <w:rFonts w:hint="default" w:ascii="Times New Roman" w:hAnsi="Times New Roman" w:eastAsia="仿宋" w:cs="Times New Roman"/>
                <w:color w:val="000000"/>
                <w:kern w:val="0"/>
                <w:sz w:val="21"/>
                <w:szCs w:val="21"/>
                <w:lang w:val="zh-CN"/>
              </w:rPr>
            </w:pPr>
            <w:r>
              <w:rPr>
                <w:rFonts w:hint="default" w:ascii="Times New Roman" w:hAnsi="Times New Roman" w:eastAsia="仿宋" w:cs="Times New Roman"/>
                <w:color w:val="000000"/>
                <w:kern w:val="0"/>
                <w:sz w:val="21"/>
                <w:szCs w:val="21"/>
              </w:rPr>
              <w:t>45</w:t>
            </w:r>
            <w:r>
              <w:rPr>
                <w:rFonts w:hint="default" w:ascii="Times New Roman" w:hAnsi="Times New Roman" w:eastAsia="仿宋" w:cs="Times New Roman"/>
                <w:color w:val="000000"/>
                <w:kern w:val="0"/>
                <w:sz w:val="21"/>
                <w:szCs w:val="21"/>
                <w:lang w:val="zh-CN"/>
              </w:rPr>
              <w:t>岁以上</w:t>
            </w:r>
          </w:p>
        </w:tc>
        <w:tc>
          <w:tcPr>
            <w:tcW w:w="1669" w:type="dxa"/>
            <w:shd w:val="clear" w:color="000000" w:fill="FFFFFF"/>
            <w:vAlign w:val="center"/>
          </w:tcPr>
          <w:p>
            <w:pPr>
              <w:autoSpaceDE w:val="0"/>
              <w:autoSpaceDN w:val="0"/>
              <w:adjustRightInd w:val="0"/>
              <w:jc w:val="center"/>
              <w:rPr>
                <w:rFonts w:hint="default" w:ascii="Times New Roman" w:hAnsi="Times New Roman" w:eastAsia="仿宋" w:cs="Times New Roman"/>
                <w:color w:val="000000"/>
                <w:kern w:val="0"/>
                <w:sz w:val="21"/>
                <w:szCs w:val="21"/>
                <w:lang w:val="zh-CN"/>
              </w:rPr>
            </w:pPr>
            <w:r>
              <w:rPr>
                <w:rFonts w:hint="default" w:ascii="Times New Roman" w:hAnsi="Times New Roman" w:eastAsia="仿宋" w:cs="Times New Roman"/>
                <w:color w:val="000000"/>
                <w:kern w:val="0"/>
                <w:sz w:val="21"/>
                <w:szCs w:val="21"/>
              </w:rPr>
              <w:t>4</w:t>
            </w:r>
            <w:r>
              <w:rPr>
                <w:rFonts w:hint="default" w:ascii="Times New Roman" w:hAnsi="Times New Roman" w:eastAsia="仿宋" w:cs="Times New Roman"/>
                <w:color w:val="000000"/>
                <w:kern w:val="0"/>
                <w:sz w:val="21"/>
                <w:szCs w:val="21"/>
                <w:lang w:val="zh-CN"/>
              </w:rPr>
              <w:t>人</w:t>
            </w:r>
          </w:p>
        </w:tc>
        <w:tc>
          <w:tcPr>
            <w:tcW w:w="2410" w:type="dxa"/>
            <w:shd w:val="clear" w:color="000000" w:fill="FFFFFF"/>
            <w:vAlign w:val="center"/>
          </w:tcPr>
          <w:p>
            <w:pPr>
              <w:jc w:val="center"/>
              <w:textAlignment w:val="center"/>
              <w:rPr>
                <w:rFonts w:hint="default" w:ascii="Times New Roman" w:hAnsi="Times New Roman" w:eastAsia="仿宋" w:cs="Times New Roman"/>
                <w:color w:val="000000"/>
                <w:kern w:val="0"/>
                <w:sz w:val="21"/>
                <w:szCs w:val="21"/>
                <w:lang w:val="zh-CN"/>
              </w:rPr>
            </w:pPr>
            <w:r>
              <w:rPr>
                <w:rFonts w:hint="default" w:ascii="Times New Roman" w:hAnsi="Times New Roman" w:eastAsia="仿宋" w:cs="Times New Roman"/>
                <w:kern w:val="0"/>
                <w:sz w:val="21"/>
                <w:szCs w:val="21"/>
              </w:rPr>
              <w:t>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exact"/>
          <w:jc w:val="center"/>
        </w:trPr>
        <w:tc>
          <w:tcPr>
            <w:tcW w:w="1885" w:type="dxa"/>
            <w:vMerge w:val="continue"/>
            <w:shd w:val="clear" w:color="000000" w:fill="FFFFFF"/>
            <w:vAlign w:val="center"/>
          </w:tcPr>
          <w:p>
            <w:pPr>
              <w:autoSpaceDE w:val="0"/>
              <w:autoSpaceDN w:val="0"/>
              <w:adjustRightInd w:val="0"/>
              <w:jc w:val="center"/>
              <w:rPr>
                <w:rFonts w:hint="default" w:ascii="Times New Roman" w:hAnsi="Times New Roman" w:eastAsia="仿宋" w:cs="Times New Roman"/>
                <w:color w:val="000000"/>
                <w:kern w:val="0"/>
                <w:sz w:val="21"/>
                <w:szCs w:val="21"/>
                <w:lang w:val="zh-CN"/>
              </w:rPr>
            </w:pPr>
          </w:p>
        </w:tc>
        <w:tc>
          <w:tcPr>
            <w:tcW w:w="2564" w:type="dxa"/>
            <w:shd w:val="clear" w:color="000000" w:fill="FFFFFF"/>
            <w:vAlign w:val="center"/>
          </w:tcPr>
          <w:p>
            <w:pPr>
              <w:autoSpaceDE w:val="0"/>
              <w:autoSpaceDN w:val="0"/>
              <w:adjustRightInd w:val="0"/>
              <w:jc w:val="center"/>
              <w:rPr>
                <w:rFonts w:hint="default" w:ascii="Times New Roman" w:hAnsi="Times New Roman" w:eastAsia="仿宋" w:cs="Times New Roman"/>
                <w:color w:val="000000"/>
                <w:kern w:val="0"/>
                <w:sz w:val="21"/>
                <w:szCs w:val="21"/>
                <w:lang w:val="zh-CN"/>
              </w:rPr>
            </w:pPr>
            <w:r>
              <w:rPr>
                <w:rFonts w:hint="default" w:ascii="Times New Roman" w:hAnsi="Times New Roman" w:eastAsia="仿宋" w:cs="Times New Roman"/>
                <w:color w:val="000000"/>
                <w:kern w:val="0"/>
                <w:sz w:val="21"/>
                <w:szCs w:val="21"/>
              </w:rPr>
              <w:t>36-44</w:t>
            </w:r>
            <w:r>
              <w:rPr>
                <w:rFonts w:hint="default" w:ascii="Times New Roman" w:hAnsi="Times New Roman" w:eastAsia="仿宋" w:cs="Times New Roman"/>
                <w:color w:val="000000"/>
                <w:kern w:val="0"/>
                <w:sz w:val="21"/>
                <w:szCs w:val="21"/>
                <w:lang w:val="zh-CN"/>
              </w:rPr>
              <w:t>岁</w:t>
            </w:r>
          </w:p>
        </w:tc>
        <w:tc>
          <w:tcPr>
            <w:tcW w:w="1669" w:type="dxa"/>
            <w:shd w:val="clear" w:color="000000" w:fill="FFFFFF"/>
            <w:vAlign w:val="center"/>
          </w:tcPr>
          <w:p>
            <w:pPr>
              <w:autoSpaceDE w:val="0"/>
              <w:autoSpaceDN w:val="0"/>
              <w:adjustRightInd w:val="0"/>
              <w:jc w:val="center"/>
              <w:rPr>
                <w:rFonts w:hint="default" w:ascii="Times New Roman" w:hAnsi="Times New Roman" w:eastAsia="仿宋" w:cs="Times New Roman"/>
                <w:color w:val="000000"/>
                <w:kern w:val="0"/>
                <w:sz w:val="21"/>
                <w:szCs w:val="21"/>
                <w:lang w:val="zh-CN"/>
              </w:rPr>
            </w:pPr>
            <w:r>
              <w:rPr>
                <w:rFonts w:hint="default" w:ascii="Times New Roman" w:hAnsi="Times New Roman" w:eastAsia="仿宋" w:cs="Times New Roman"/>
                <w:color w:val="000000"/>
                <w:kern w:val="0"/>
                <w:sz w:val="21"/>
                <w:szCs w:val="21"/>
              </w:rPr>
              <w:t>5</w:t>
            </w:r>
            <w:r>
              <w:rPr>
                <w:rFonts w:hint="default" w:ascii="Times New Roman" w:hAnsi="Times New Roman" w:eastAsia="仿宋" w:cs="Times New Roman"/>
                <w:color w:val="000000"/>
                <w:kern w:val="0"/>
                <w:sz w:val="21"/>
                <w:szCs w:val="21"/>
                <w:lang w:val="zh-CN"/>
              </w:rPr>
              <w:t>人</w:t>
            </w:r>
          </w:p>
        </w:tc>
        <w:tc>
          <w:tcPr>
            <w:tcW w:w="2410" w:type="dxa"/>
            <w:shd w:val="clear" w:color="000000" w:fill="FFFFFF"/>
            <w:vAlign w:val="center"/>
          </w:tcPr>
          <w:p>
            <w:pPr>
              <w:jc w:val="center"/>
              <w:textAlignment w:val="center"/>
              <w:rPr>
                <w:rFonts w:hint="default" w:ascii="Times New Roman" w:hAnsi="Times New Roman" w:eastAsia="仿宋" w:cs="Times New Roman"/>
                <w:color w:val="000000"/>
                <w:kern w:val="0"/>
                <w:sz w:val="21"/>
                <w:szCs w:val="21"/>
                <w:lang w:val="zh-CN"/>
              </w:rPr>
            </w:pPr>
            <w:r>
              <w:rPr>
                <w:rFonts w:hint="default" w:ascii="Times New Roman" w:hAnsi="Times New Roman" w:eastAsia="仿宋" w:cs="Times New Roman"/>
                <w:kern w:val="0"/>
                <w:sz w:val="21"/>
                <w:szCs w:val="21"/>
              </w:rPr>
              <w:t>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exact"/>
          <w:jc w:val="center"/>
        </w:trPr>
        <w:tc>
          <w:tcPr>
            <w:tcW w:w="1885" w:type="dxa"/>
            <w:vMerge w:val="continue"/>
            <w:shd w:val="clear" w:color="000000" w:fill="FFFFFF"/>
            <w:vAlign w:val="center"/>
          </w:tcPr>
          <w:p>
            <w:pPr>
              <w:autoSpaceDE w:val="0"/>
              <w:autoSpaceDN w:val="0"/>
              <w:adjustRightInd w:val="0"/>
              <w:jc w:val="center"/>
              <w:rPr>
                <w:rFonts w:hint="default" w:ascii="Times New Roman" w:hAnsi="Times New Roman" w:eastAsia="仿宋" w:cs="Times New Roman"/>
                <w:color w:val="000000"/>
                <w:kern w:val="0"/>
                <w:sz w:val="21"/>
                <w:szCs w:val="21"/>
                <w:lang w:val="zh-CN"/>
              </w:rPr>
            </w:pPr>
          </w:p>
        </w:tc>
        <w:tc>
          <w:tcPr>
            <w:tcW w:w="2564" w:type="dxa"/>
            <w:shd w:val="clear" w:color="000000" w:fill="FFFFFF"/>
            <w:vAlign w:val="center"/>
          </w:tcPr>
          <w:p>
            <w:pPr>
              <w:autoSpaceDE w:val="0"/>
              <w:autoSpaceDN w:val="0"/>
              <w:adjustRightInd w:val="0"/>
              <w:jc w:val="center"/>
              <w:rPr>
                <w:rFonts w:hint="default" w:ascii="Times New Roman" w:hAnsi="Times New Roman" w:eastAsia="仿宋" w:cs="Times New Roman"/>
                <w:color w:val="000000"/>
                <w:kern w:val="0"/>
                <w:sz w:val="21"/>
                <w:szCs w:val="21"/>
                <w:lang w:val="zh-CN"/>
              </w:rPr>
            </w:pPr>
            <w:r>
              <w:rPr>
                <w:rFonts w:hint="default" w:ascii="Times New Roman" w:hAnsi="Times New Roman" w:eastAsia="仿宋" w:cs="Times New Roman"/>
                <w:color w:val="000000"/>
                <w:kern w:val="0"/>
                <w:sz w:val="21"/>
                <w:szCs w:val="21"/>
              </w:rPr>
              <w:t>35</w:t>
            </w:r>
            <w:r>
              <w:rPr>
                <w:rFonts w:hint="default" w:ascii="Times New Roman" w:hAnsi="Times New Roman" w:eastAsia="仿宋" w:cs="Times New Roman"/>
                <w:color w:val="000000"/>
                <w:kern w:val="0"/>
                <w:sz w:val="21"/>
                <w:szCs w:val="21"/>
                <w:lang w:val="zh-CN"/>
              </w:rPr>
              <w:t>岁以下</w:t>
            </w:r>
          </w:p>
        </w:tc>
        <w:tc>
          <w:tcPr>
            <w:tcW w:w="1669" w:type="dxa"/>
            <w:shd w:val="clear" w:color="000000" w:fill="FFFFFF"/>
            <w:vAlign w:val="center"/>
          </w:tcPr>
          <w:p>
            <w:pPr>
              <w:autoSpaceDE w:val="0"/>
              <w:autoSpaceDN w:val="0"/>
              <w:adjustRightInd w:val="0"/>
              <w:jc w:val="center"/>
              <w:rPr>
                <w:rFonts w:hint="default" w:ascii="Times New Roman" w:hAnsi="Times New Roman" w:eastAsia="仿宋" w:cs="Times New Roman"/>
                <w:color w:val="000000"/>
                <w:kern w:val="0"/>
                <w:sz w:val="21"/>
                <w:szCs w:val="21"/>
                <w:lang w:val="zh-CN"/>
              </w:rPr>
            </w:pPr>
            <w:r>
              <w:rPr>
                <w:rFonts w:hint="default" w:ascii="Times New Roman" w:hAnsi="Times New Roman" w:eastAsia="仿宋" w:cs="Times New Roman"/>
                <w:color w:val="000000"/>
                <w:kern w:val="0"/>
                <w:sz w:val="21"/>
                <w:szCs w:val="21"/>
              </w:rPr>
              <w:t>10</w:t>
            </w:r>
            <w:r>
              <w:rPr>
                <w:rFonts w:hint="default" w:ascii="Times New Roman" w:hAnsi="Times New Roman" w:eastAsia="仿宋" w:cs="Times New Roman"/>
                <w:color w:val="000000"/>
                <w:kern w:val="0"/>
                <w:sz w:val="21"/>
                <w:szCs w:val="21"/>
                <w:lang w:val="zh-CN"/>
              </w:rPr>
              <w:t>人</w:t>
            </w:r>
          </w:p>
        </w:tc>
        <w:tc>
          <w:tcPr>
            <w:tcW w:w="2410" w:type="dxa"/>
            <w:shd w:val="clear" w:color="000000" w:fill="FFFFFF"/>
            <w:vAlign w:val="center"/>
          </w:tcPr>
          <w:p>
            <w:pPr>
              <w:jc w:val="center"/>
              <w:textAlignment w:val="center"/>
              <w:rPr>
                <w:rFonts w:hint="default" w:ascii="Times New Roman" w:hAnsi="Times New Roman" w:eastAsia="仿宋" w:cs="Times New Roman"/>
                <w:color w:val="000000"/>
                <w:kern w:val="0"/>
                <w:sz w:val="21"/>
                <w:szCs w:val="21"/>
                <w:lang w:val="zh-CN"/>
              </w:rPr>
            </w:pPr>
            <w:r>
              <w:rPr>
                <w:rFonts w:hint="default" w:ascii="Times New Roman" w:hAnsi="Times New Roman" w:eastAsia="仿宋" w:cs="Times New Roman"/>
                <w:kern w:val="0"/>
                <w:sz w:val="21"/>
                <w:szCs w:val="21"/>
              </w:rPr>
              <w:t>52.6</w:t>
            </w:r>
          </w:p>
        </w:tc>
      </w:tr>
    </w:tbl>
    <w:p>
      <w:pPr>
        <w:widowControl/>
        <w:spacing w:line="480" w:lineRule="exact"/>
        <w:jc w:val="center"/>
        <w:textAlignment w:val="center"/>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表2-2  教师队伍基本信息表</w:t>
      </w:r>
    </w:p>
    <w:tbl>
      <w:tblPr>
        <w:tblStyle w:val="13"/>
        <w:tblW w:w="8812" w:type="dxa"/>
        <w:jc w:val="center"/>
        <w:tblInd w:w="0" w:type="dxa"/>
        <w:tblLayout w:type="fixed"/>
        <w:tblCellMar>
          <w:top w:w="15" w:type="dxa"/>
          <w:left w:w="15" w:type="dxa"/>
          <w:bottom w:w="15" w:type="dxa"/>
          <w:right w:w="15" w:type="dxa"/>
        </w:tblCellMar>
      </w:tblPr>
      <w:tblGrid>
        <w:gridCol w:w="488"/>
        <w:gridCol w:w="718"/>
        <w:gridCol w:w="956"/>
        <w:gridCol w:w="489"/>
        <w:gridCol w:w="1348"/>
        <w:gridCol w:w="489"/>
        <w:gridCol w:w="1175"/>
        <w:gridCol w:w="1517"/>
        <w:gridCol w:w="1632"/>
      </w:tblGrid>
      <w:tr>
        <w:tblPrEx>
          <w:tblLayout w:type="fixed"/>
          <w:tblCellMar>
            <w:top w:w="15" w:type="dxa"/>
            <w:left w:w="15" w:type="dxa"/>
            <w:bottom w:w="15" w:type="dxa"/>
            <w:right w:w="15" w:type="dxa"/>
          </w:tblCellMar>
        </w:tblPrEx>
        <w:trPr>
          <w:trHeight w:val="285"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序号</w:t>
            </w: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姓名</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职称</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性别</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出生年月</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民族</w:t>
            </w:r>
          </w:p>
        </w:tc>
        <w:tc>
          <w:tcPr>
            <w:tcW w:w="11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所学专业</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最高学历/学位</w:t>
            </w:r>
          </w:p>
        </w:tc>
        <w:tc>
          <w:tcPr>
            <w:tcW w:w="163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毕业院校</w:t>
            </w:r>
          </w:p>
        </w:tc>
      </w:tr>
      <w:tr>
        <w:tblPrEx>
          <w:tblLayout w:type="fixed"/>
          <w:tblCellMar>
            <w:top w:w="15" w:type="dxa"/>
            <w:left w:w="15" w:type="dxa"/>
            <w:bottom w:w="15" w:type="dxa"/>
            <w:right w:w="15" w:type="dxa"/>
          </w:tblCellMar>
        </w:tblPrEx>
        <w:trPr>
          <w:trHeight w:val="285" w:hRule="atLeast"/>
          <w:jc w:val="center"/>
        </w:trPr>
        <w:tc>
          <w:tcPr>
            <w:tcW w:w="488" w:type="dxa"/>
            <w:tcBorders>
              <w:top w:val="single" w:color="auto"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718" w:type="dxa"/>
            <w:tcBorders>
              <w:top w:val="single" w:color="auto"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王雅珍</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教授</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女</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1964年10月</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汉</w:t>
            </w:r>
          </w:p>
        </w:tc>
        <w:tc>
          <w:tcPr>
            <w:tcW w:w="11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生物科学</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硕士研究生</w:t>
            </w:r>
          </w:p>
        </w:tc>
        <w:tc>
          <w:tcPr>
            <w:tcW w:w="163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哈尔滨师范大学</w:t>
            </w:r>
          </w:p>
        </w:tc>
      </w:tr>
      <w:tr>
        <w:tblPrEx>
          <w:tblLayout w:type="fixed"/>
          <w:tblCellMar>
            <w:top w:w="15" w:type="dxa"/>
            <w:left w:w="15" w:type="dxa"/>
            <w:bottom w:w="15" w:type="dxa"/>
            <w:right w:w="15" w:type="dxa"/>
          </w:tblCellMar>
        </w:tblPrEx>
        <w:trPr>
          <w:trHeight w:val="285"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2</w:t>
            </w: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陈兵</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副教授</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男</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1982年4月</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汉</w:t>
            </w:r>
          </w:p>
        </w:tc>
        <w:tc>
          <w:tcPr>
            <w:tcW w:w="11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食品科学</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本科/</w:t>
            </w:r>
            <w:r>
              <w:rPr>
                <w:rFonts w:hint="eastAsia" w:ascii="仿宋" w:hAnsi="仿宋" w:eastAsia="仿宋" w:cs="仿宋"/>
                <w:color w:val="000000"/>
                <w:sz w:val="21"/>
                <w:szCs w:val="21"/>
              </w:rPr>
              <w:t>硕士</w:t>
            </w:r>
          </w:p>
        </w:tc>
        <w:tc>
          <w:tcPr>
            <w:tcW w:w="163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东北农业大学</w:t>
            </w:r>
          </w:p>
        </w:tc>
      </w:tr>
      <w:tr>
        <w:tblPrEx>
          <w:tblLayout w:type="fixed"/>
          <w:tblCellMar>
            <w:top w:w="15" w:type="dxa"/>
            <w:left w:w="15" w:type="dxa"/>
            <w:bottom w:w="15" w:type="dxa"/>
            <w:right w:w="15" w:type="dxa"/>
          </w:tblCellMar>
        </w:tblPrEx>
        <w:trPr>
          <w:trHeight w:val="285"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3</w:t>
            </w: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姜坤</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副教授</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男</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1963年5月</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汉</w:t>
            </w:r>
          </w:p>
        </w:tc>
        <w:tc>
          <w:tcPr>
            <w:tcW w:w="11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农学</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本科</w:t>
            </w:r>
          </w:p>
        </w:tc>
        <w:tc>
          <w:tcPr>
            <w:tcW w:w="163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延边大学</w:t>
            </w:r>
          </w:p>
        </w:tc>
      </w:tr>
      <w:tr>
        <w:tblPrEx>
          <w:tblLayout w:type="fixed"/>
          <w:tblCellMar>
            <w:top w:w="15" w:type="dxa"/>
            <w:left w:w="15" w:type="dxa"/>
            <w:bottom w:w="15" w:type="dxa"/>
            <w:right w:w="15" w:type="dxa"/>
          </w:tblCellMar>
        </w:tblPrEx>
        <w:trPr>
          <w:trHeight w:val="285"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4</w:t>
            </w: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杜喜胜</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spacing w:val="-20"/>
                <w:kern w:val="0"/>
                <w:sz w:val="21"/>
                <w:szCs w:val="21"/>
              </w:rPr>
              <w:t>高级工程师</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男</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1965年5月</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汉</w:t>
            </w:r>
          </w:p>
        </w:tc>
        <w:tc>
          <w:tcPr>
            <w:tcW w:w="11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食品科学与</w:t>
            </w:r>
          </w:p>
          <w:p>
            <w:pPr>
              <w:widowControl/>
              <w:spacing w:line="24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工程</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本科</w:t>
            </w:r>
          </w:p>
        </w:tc>
        <w:tc>
          <w:tcPr>
            <w:tcW w:w="163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东北农业大学</w:t>
            </w:r>
          </w:p>
        </w:tc>
      </w:tr>
      <w:tr>
        <w:tblPrEx>
          <w:tblLayout w:type="fixed"/>
          <w:tblCellMar>
            <w:top w:w="15" w:type="dxa"/>
            <w:left w:w="15" w:type="dxa"/>
            <w:bottom w:w="15" w:type="dxa"/>
            <w:right w:w="15" w:type="dxa"/>
          </w:tblCellMar>
        </w:tblPrEx>
        <w:trPr>
          <w:trHeight w:val="285"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5</w:t>
            </w: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王艳英</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pacing w:val="-20"/>
                <w:kern w:val="0"/>
                <w:sz w:val="21"/>
                <w:szCs w:val="21"/>
              </w:rPr>
            </w:pPr>
            <w:r>
              <w:rPr>
                <w:rFonts w:hint="eastAsia" w:ascii="仿宋" w:hAnsi="仿宋" w:eastAsia="仿宋" w:cs="仿宋"/>
                <w:color w:val="000000"/>
                <w:spacing w:val="-20"/>
                <w:kern w:val="0"/>
                <w:sz w:val="21"/>
                <w:szCs w:val="21"/>
              </w:rPr>
              <w:t>高级工程师</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女</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1968年12月</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汉</w:t>
            </w:r>
          </w:p>
        </w:tc>
        <w:tc>
          <w:tcPr>
            <w:tcW w:w="11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食品科学与</w:t>
            </w:r>
          </w:p>
          <w:p>
            <w:pPr>
              <w:widowControl/>
              <w:spacing w:line="24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工程</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本科</w:t>
            </w:r>
          </w:p>
        </w:tc>
        <w:tc>
          <w:tcPr>
            <w:tcW w:w="163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东北农业大学</w:t>
            </w:r>
          </w:p>
        </w:tc>
      </w:tr>
      <w:tr>
        <w:tblPrEx>
          <w:tblLayout w:type="fixed"/>
          <w:tblCellMar>
            <w:top w:w="15" w:type="dxa"/>
            <w:left w:w="15" w:type="dxa"/>
            <w:bottom w:w="15" w:type="dxa"/>
            <w:right w:w="15" w:type="dxa"/>
          </w:tblCellMar>
        </w:tblPrEx>
        <w:trPr>
          <w:trHeight w:val="285"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6</w:t>
            </w: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马宇亮</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讲师</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男</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1984年5月</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汉</w:t>
            </w:r>
          </w:p>
        </w:tc>
        <w:tc>
          <w:tcPr>
            <w:tcW w:w="11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生药学</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硕士研究生</w:t>
            </w:r>
          </w:p>
        </w:tc>
        <w:tc>
          <w:tcPr>
            <w:tcW w:w="163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东北林业大学</w:t>
            </w:r>
          </w:p>
        </w:tc>
      </w:tr>
      <w:tr>
        <w:tblPrEx>
          <w:tblLayout w:type="fixed"/>
          <w:tblCellMar>
            <w:top w:w="15" w:type="dxa"/>
            <w:left w:w="15" w:type="dxa"/>
            <w:bottom w:w="15" w:type="dxa"/>
            <w:right w:w="15" w:type="dxa"/>
          </w:tblCellMar>
        </w:tblPrEx>
        <w:trPr>
          <w:trHeight w:val="285"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7</w:t>
            </w: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王艳梅</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讲师</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女</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1977年9月</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汉</w:t>
            </w:r>
          </w:p>
        </w:tc>
        <w:tc>
          <w:tcPr>
            <w:tcW w:w="11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生物物理</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硕士研究生</w:t>
            </w:r>
          </w:p>
        </w:tc>
        <w:tc>
          <w:tcPr>
            <w:tcW w:w="163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东北林业大学</w:t>
            </w:r>
          </w:p>
        </w:tc>
      </w:tr>
      <w:tr>
        <w:tblPrEx>
          <w:tblLayout w:type="fixed"/>
          <w:tblCellMar>
            <w:top w:w="15" w:type="dxa"/>
            <w:left w:w="15" w:type="dxa"/>
            <w:bottom w:w="15" w:type="dxa"/>
            <w:right w:w="15" w:type="dxa"/>
          </w:tblCellMar>
        </w:tblPrEx>
        <w:trPr>
          <w:trHeight w:val="285"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8</w:t>
            </w: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李彩侠</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讲师</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女</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1985年5月</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汉</w:t>
            </w:r>
          </w:p>
        </w:tc>
        <w:tc>
          <w:tcPr>
            <w:tcW w:w="11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生态学</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硕士研究生</w:t>
            </w:r>
          </w:p>
        </w:tc>
        <w:tc>
          <w:tcPr>
            <w:tcW w:w="163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东北农业大学</w:t>
            </w:r>
          </w:p>
        </w:tc>
      </w:tr>
      <w:tr>
        <w:tblPrEx>
          <w:tblLayout w:type="fixed"/>
          <w:tblCellMar>
            <w:top w:w="15" w:type="dxa"/>
            <w:left w:w="15" w:type="dxa"/>
            <w:bottom w:w="15" w:type="dxa"/>
            <w:right w:w="15" w:type="dxa"/>
          </w:tblCellMar>
        </w:tblPrEx>
        <w:trPr>
          <w:trHeight w:val="285"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9</w:t>
            </w: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秦玉珠</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讲师</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女</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1988年4月</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汉</w:t>
            </w:r>
          </w:p>
        </w:tc>
        <w:tc>
          <w:tcPr>
            <w:tcW w:w="11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应用化学</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硕士研究生</w:t>
            </w:r>
          </w:p>
        </w:tc>
        <w:tc>
          <w:tcPr>
            <w:tcW w:w="163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齐齐哈尔大学</w:t>
            </w:r>
          </w:p>
        </w:tc>
      </w:tr>
      <w:tr>
        <w:tblPrEx>
          <w:tblLayout w:type="fixed"/>
          <w:tblCellMar>
            <w:top w:w="15" w:type="dxa"/>
            <w:left w:w="15" w:type="dxa"/>
            <w:bottom w:w="15" w:type="dxa"/>
            <w:right w:w="15" w:type="dxa"/>
          </w:tblCellMar>
        </w:tblPrEx>
        <w:trPr>
          <w:trHeight w:val="285"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10</w:t>
            </w: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汪宁</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讲师</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女</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1988年3月</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汉</w:t>
            </w:r>
          </w:p>
        </w:tc>
        <w:tc>
          <w:tcPr>
            <w:tcW w:w="11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化学</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硕士研究生</w:t>
            </w:r>
          </w:p>
        </w:tc>
        <w:tc>
          <w:tcPr>
            <w:tcW w:w="163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哈尔滨师范大学</w:t>
            </w:r>
          </w:p>
        </w:tc>
      </w:tr>
      <w:tr>
        <w:tblPrEx>
          <w:tblLayout w:type="fixed"/>
          <w:tblCellMar>
            <w:top w:w="15" w:type="dxa"/>
            <w:left w:w="15" w:type="dxa"/>
            <w:bottom w:w="15" w:type="dxa"/>
            <w:right w:w="15" w:type="dxa"/>
          </w:tblCellMar>
        </w:tblPrEx>
        <w:trPr>
          <w:trHeight w:val="285"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11</w:t>
            </w: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张春芳</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助教</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女</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1989年1月</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sz w:val="21"/>
                <w:szCs w:val="21"/>
              </w:rPr>
              <w:t>汉</w:t>
            </w:r>
          </w:p>
        </w:tc>
        <w:tc>
          <w:tcPr>
            <w:tcW w:w="11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化学工艺</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sz w:val="21"/>
                <w:szCs w:val="21"/>
              </w:rPr>
              <w:t>硕士研究生</w:t>
            </w:r>
          </w:p>
        </w:tc>
        <w:tc>
          <w:tcPr>
            <w:tcW w:w="163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燕山大学</w:t>
            </w:r>
          </w:p>
        </w:tc>
      </w:tr>
      <w:tr>
        <w:tblPrEx>
          <w:tblLayout w:type="fixed"/>
          <w:tblCellMar>
            <w:top w:w="15" w:type="dxa"/>
            <w:left w:w="15" w:type="dxa"/>
            <w:bottom w:w="15" w:type="dxa"/>
            <w:right w:w="15" w:type="dxa"/>
          </w:tblCellMar>
        </w:tblPrEx>
        <w:trPr>
          <w:trHeight w:val="285"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12</w:t>
            </w: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于洋</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助教</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男</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sz w:val="21"/>
                <w:szCs w:val="21"/>
              </w:rPr>
              <w:t>1983年10月</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sz w:val="21"/>
                <w:szCs w:val="21"/>
              </w:rPr>
              <w:t>汉</w:t>
            </w:r>
          </w:p>
        </w:tc>
        <w:tc>
          <w:tcPr>
            <w:tcW w:w="11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生物化学与</w:t>
            </w:r>
          </w:p>
          <w:p>
            <w:pPr>
              <w:widowControl/>
              <w:spacing w:line="240" w:lineRule="exact"/>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分子生物学</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sz w:val="21"/>
                <w:szCs w:val="21"/>
              </w:rPr>
              <w:t>硕士研究生</w:t>
            </w:r>
          </w:p>
        </w:tc>
        <w:tc>
          <w:tcPr>
            <w:tcW w:w="163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云南农业大学</w:t>
            </w:r>
          </w:p>
        </w:tc>
      </w:tr>
      <w:tr>
        <w:tblPrEx>
          <w:tblLayout w:type="fixed"/>
          <w:tblCellMar>
            <w:top w:w="15" w:type="dxa"/>
            <w:left w:w="15" w:type="dxa"/>
            <w:bottom w:w="15" w:type="dxa"/>
            <w:right w:w="15" w:type="dxa"/>
          </w:tblCellMar>
        </w:tblPrEx>
        <w:trPr>
          <w:trHeight w:val="285"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13</w:t>
            </w: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王雪微</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助教</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女</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sz w:val="21"/>
                <w:szCs w:val="21"/>
              </w:rPr>
              <w:t>1992年9月</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sz w:val="21"/>
                <w:szCs w:val="21"/>
              </w:rPr>
              <w:t>汉</w:t>
            </w:r>
          </w:p>
        </w:tc>
        <w:tc>
          <w:tcPr>
            <w:tcW w:w="11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环境科学与</w:t>
            </w:r>
          </w:p>
          <w:p>
            <w:pPr>
              <w:widowControl/>
              <w:spacing w:line="240" w:lineRule="exact"/>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工程</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sz w:val="21"/>
                <w:szCs w:val="21"/>
              </w:rPr>
              <w:t>硕士研究生</w:t>
            </w:r>
          </w:p>
        </w:tc>
        <w:tc>
          <w:tcPr>
            <w:tcW w:w="163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sz w:val="21"/>
                <w:szCs w:val="21"/>
              </w:rPr>
              <w:t>哈尔滨商业大学</w:t>
            </w:r>
          </w:p>
        </w:tc>
      </w:tr>
      <w:tr>
        <w:tblPrEx>
          <w:tblLayout w:type="fixed"/>
          <w:tblCellMar>
            <w:top w:w="15" w:type="dxa"/>
            <w:left w:w="15" w:type="dxa"/>
            <w:bottom w:w="15" w:type="dxa"/>
            <w:right w:w="15" w:type="dxa"/>
          </w:tblCellMar>
        </w:tblPrEx>
        <w:trPr>
          <w:trHeight w:val="285"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14</w:t>
            </w: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潘忠星</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助教</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女</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1986年8月</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汉</w:t>
            </w:r>
          </w:p>
        </w:tc>
        <w:tc>
          <w:tcPr>
            <w:tcW w:w="11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食品科学与</w:t>
            </w:r>
          </w:p>
          <w:p>
            <w:pPr>
              <w:widowControl/>
              <w:spacing w:line="240" w:lineRule="exact"/>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工程</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硕士研究生</w:t>
            </w:r>
          </w:p>
        </w:tc>
        <w:tc>
          <w:tcPr>
            <w:tcW w:w="163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东北农业大学</w:t>
            </w:r>
          </w:p>
        </w:tc>
      </w:tr>
      <w:tr>
        <w:tblPrEx>
          <w:tblLayout w:type="fixed"/>
          <w:tblCellMar>
            <w:top w:w="15" w:type="dxa"/>
            <w:left w:w="15" w:type="dxa"/>
            <w:bottom w:w="15" w:type="dxa"/>
            <w:right w:w="15" w:type="dxa"/>
          </w:tblCellMar>
        </w:tblPrEx>
        <w:trPr>
          <w:trHeight w:val="285"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15</w:t>
            </w: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孙蕊</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助教</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女</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1993年12月</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汉</w:t>
            </w:r>
          </w:p>
        </w:tc>
        <w:tc>
          <w:tcPr>
            <w:tcW w:w="11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食品科学与</w:t>
            </w:r>
          </w:p>
          <w:p>
            <w:pPr>
              <w:widowControl/>
              <w:spacing w:line="240" w:lineRule="exact"/>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工程</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硕士研究生</w:t>
            </w:r>
          </w:p>
        </w:tc>
        <w:tc>
          <w:tcPr>
            <w:tcW w:w="163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吉林大学</w:t>
            </w:r>
          </w:p>
        </w:tc>
      </w:tr>
      <w:tr>
        <w:tblPrEx>
          <w:tblLayout w:type="fixed"/>
          <w:tblCellMar>
            <w:top w:w="15" w:type="dxa"/>
            <w:left w:w="15" w:type="dxa"/>
            <w:bottom w:w="15" w:type="dxa"/>
            <w:right w:w="15" w:type="dxa"/>
          </w:tblCellMar>
        </w:tblPrEx>
        <w:trPr>
          <w:trHeight w:val="285"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16</w:t>
            </w: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房媛媛</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助教</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女</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1990年9月</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汉</w:t>
            </w:r>
          </w:p>
        </w:tc>
        <w:tc>
          <w:tcPr>
            <w:tcW w:w="11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食品工程</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硕士研究生</w:t>
            </w:r>
          </w:p>
        </w:tc>
        <w:tc>
          <w:tcPr>
            <w:tcW w:w="163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东北农业大学</w:t>
            </w:r>
          </w:p>
        </w:tc>
      </w:tr>
      <w:tr>
        <w:tblPrEx>
          <w:tblLayout w:type="fixed"/>
          <w:tblCellMar>
            <w:top w:w="15" w:type="dxa"/>
            <w:left w:w="15" w:type="dxa"/>
            <w:bottom w:w="15" w:type="dxa"/>
            <w:right w:w="15" w:type="dxa"/>
          </w:tblCellMar>
        </w:tblPrEx>
        <w:trPr>
          <w:trHeight w:val="285"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17</w:t>
            </w: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牟心泰</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助教</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男</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1995年9月</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汉</w:t>
            </w:r>
          </w:p>
        </w:tc>
        <w:tc>
          <w:tcPr>
            <w:tcW w:w="11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烹饪科学</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硕士研究生</w:t>
            </w:r>
          </w:p>
        </w:tc>
        <w:tc>
          <w:tcPr>
            <w:tcW w:w="163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哈尔滨商业大学</w:t>
            </w:r>
          </w:p>
        </w:tc>
      </w:tr>
      <w:tr>
        <w:tblPrEx>
          <w:tblLayout w:type="fixed"/>
          <w:tblCellMar>
            <w:top w:w="15" w:type="dxa"/>
            <w:left w:w="15" w:type="dxa"/>
            <w:bottom w:w="15" w:type="dxa"/>
            <w:right w:w="15" w:type="dxa"/>
          </w:tblCellMar>
        </w:tblPrEx>
        <w:trPr>
          <w:trHeight w:val="285"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18</w:t>
            </w: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殷方磊</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助教</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男</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1988年12月</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汉</w:t>
            </w:r>
          </w:p>
        </w:tc>
        <w:tc>
          <w:tcPr>
            <w:tcW w:w="11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中药学</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硕士研究生</w:t>
            </w:r>
          </w:p>
        </w:tc>
        <w:tc>
          <w:tcPr>
            <w:tcW w:w="163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哈尔滨商业大学</w:t>
            </w:r>
          </w:p>
        </w:tc>
      </w:tr>
      <w:tr>
        <w:tblPrEx>
          <w:tblLayout w:type="fixed"/>
          <w:tblCellMar>
            <w:top w:w="15" w:type="dxa"/>
            <w:left w:w="15" w:type="dxa"/>
            <w:bottom w:w="15" w:type="dxa"/>
            <w:right w:w="15" w:type="dxa"/>
          </w:tblCellMar>
        </w:tblPrEx>
        <w:trPr>
          <w:trHeight w:val="285"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19</w:t>
            </w: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孔媛媛</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助教</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女</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1988年7月</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汉</w:t>
            </w:r>
          </w:p>
        </w:tc>
        <w:tc>
          <w:tcPr>
            <w:tcW w:w="11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中药学</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硕士研究生</w:t>
            </w:r>
          </w:p>
        </w:tc>
        <w:tc>
          <w:tcPr>
            <w:tcW w:w="163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哈尔滨商业大学</w:t>
            </w:r>
          </w:p>
        </w:tc>
      </w:tr>
    </w:tbl>
    <w:p>
      <w:pPr>
        <w:pStyle w:val="3"/>
        <w:spacing w:beforeLines="20" w:afterLines="20" w:line="420" w:lineRule="exact"/>
        <w:rPr>
          <w:rFonts w:hint="eastAsia" w:ascii="楷体" w:hAnsi="楷体" w:eastAsia="楷体" w:cs="Times New Roman"/>
          <w:b/>
          <w:bCs w:val="0"/>
          <w:kern w:val="2"/>
          <w:sz w:val="32"/>
          <w:szCs w:val="32"/>
          <w:lang w:val="en-US" w:eastAsia="zh-CN" w:bidi="ar-SA"/>
        </w:rPr>
      </w:pPr>
      <w:bookmarkStart w:id="9" w:name="_Toc103005267"/>
      <w:r>
        <w:rPr>
          <w:rFonts w:hint="eastAsia" w:ascii="楷体" w:hAnsi="楷体" w:eastAsia="楷体" w:cs="Times New Roman"/>
          <w:b/>
          <w:bCs w:val="0"/>
          <w:kern w:val="2"/>
          <w:sz w:val="32"/>
          <w:szCs w:val="32"/>
          <w:lang w:val="en-US" w:eastAsia="zh-CN" w:bidi="ar-SA"/>
        </w:rPr>
        <w:t>2.2 教学、科研水平</w:t>
      </w:r>
      <w:bookmarkEnd w:id="9"/>
    </w:p>
    <w:p>
      <w:pPr>
        <w:spacing w:before="0" w:beforeAutospacing="0" w:after="0" w:afterAutospacing="0"/>
        <w:rPr>
          <w:rFonts w:hint="eastAsia" w:ascii="仿宋" w:hAnsi="仿宋" w:eastAsia="仿宋"/>
          <w:b/>
          <w:bCs/>
          <w:sz w:val="32"/>
          <w:szCs w:val="32"/>
          <w:lang w:val="zh-CN"/>
        </w:rPr>
      </w:pPr>
      <w:bookmarkStart w:id="10" w:name="_Toc36540525"/>
      <w:r>
        <w:rPr>
          <w:rFonts w:hint="eastAsia" w:ascii="仿宋" w:hAnsi="仿宋" w:eastAsia="仿宋"/>
          <w:b/>
          <w:bCs/>
          <w:sz w:val="32"/>
          <w:szCs w:val="32"/>
          <w:lang w:val="zh-CN"/>
        </w:rPr>
        <w:t xml:space="preserve">2.2.1 </w:t>
      </w:r>
      <w:bookmarkEnd w:id="10"/>
      <w:r>
        <w:rPr>
          <w:rFonts w:hint="eastAsia" w:ascii="仿宋" w:hAnsi="仿宋" w:eastAsia="仿宋"/>
          <w:b/>
          <w:bCs/>
          <w:sz w:val="32"/>
          <w:szCs w:val="32"/>
          <w:lang w:val="zh-CN"/>
        </w:rPr>
        <w:t>教学水平</w:t>
      </w:r>
    </w:p>
    <w:p>
      <w:pPr>
        <w:spacing w:before="0" w:beforeAutospacing="0" w:after="0" w:afterAutospacing="0"/>
        <w:ind w:firstLine="640" w:firstLineChars="200"/>
        <w:rPr>
          <w:rFonts w:hint="eastAsia" w:ascii="仿宋" w:hAnsi="仿宋" w:eastAsia="仿宋"/>
          <w:sz w:val="32"/>
          <w:szCs w:val="32"/>
          <w:lang w:val="zh-CN"/>
        </w:rPr>
      </w:pPr>
      <w:r>
        <w:rPr>
          <w:rFonts w:hint="eastAsia" w:ascii="仿宋" w:hAnsi="仿宋" w:eastAsia="仿宋"/>
          <w:sz w:val="32"/>
          <w:szCs w:val="32"/>
          <w:lang w:val="zh-CN"/>
        </w:rPr>
        <w:t>食品专业教师学历不断提升，通过鼓励青年教师在职攻读博士学位等办法，逐步提高教研室教师学历结构，目前专任教师中青年教师具有硕士学位的比例达到100%。食品教研室在教学运行过程中不断加强教学行为的规范，提升教学能力，保证教学工作有序开展，教学过程严格管理，不断改进教学方法，并能通过积极与企业对接，根据企业对人才的需求，对人才培养方案多次进行修订，不断调整充实教学内容。近年来，在教师教学评估中，学生对教师课堂教学评价满意率为90%以上。</w:t>
      </w:r>
    </w:p>
    <w:p>
      <w:pPr>
        <w:spacing w:before="0" w:beforeAutospacing="0" w:after="0" w:afterAutospacing="0"/>
        <w:ind w:firstLine="640" w:firstLineChars="200"/>
        <w:rPr>
          <w:rFonts w:hint="eastAsia" w:ascii="仿宋" w:hAnsi="仿宋" w:eastAsia="仿宋"/>
          <w:sz w:val="32"/>
          <w:szCs w:val="32"/>
          <w:lang w:val="zh-CN"/>
        </w:rPr>
      </w:pPr>
      <w:r>
        <w:rPr>
          <w:rFonts w:hint="eastAsia" w:ascii="仿宋" w:hAnsi="仿宋" w:eastAsia="仿宋"/>
          <w:sz w:val="32"/>
          <w:szCs w:val="32"/>
          <w:lang w:val="zh-CN"/>
        </w:rPr>
        <w:t>食品专业所有承担本科课程的教师教风严谨，为人师表，备课充分，讲课认真、熟练。授课过程中经常听取同行和学生的意见，授课时保证信息量及内容顺序安排与教学大纲相符，能够将课程相关的专业知识不断的进行充实并及时更新教学内容、做到理论联系实际，并为后期课打好基础。授课时均能采用科学合理，符合学生实际，具有先进性的教学手段，注重启发学生思维，激发学生学习兴趣，调动学生积极性，现代化教学等手段的设计、应用合理、效果良好。教师在教学中都能严格要求自己、板书规范、语言流畅、教态自然、教学时间安排合理，教师均有较强的驾驭课堂能力，应变自如。授课过程中教师充分调动学生主动参与教学活动的积极性，学生的学习能力普遍得到提高。</w:t>
      </w:r>
    </w:p>
    <w:p>
      <w:pPr>
        <w:spacing w:before="0" w:beforeAutospacing="0" w:after="0" w:afterAutospacing="0"/>
        <w:rPr>
          <w:rFonts w:hint="eastAsia" w:ascii="仿宋" w:hAnsi="仿宋" w:eastAsia="仿宋"/>
          <w:b/>
          <w:bCs/>
          <w:sz w:val="32"/>
          <w:szCs w:val="32"/>
          <w:lang w:val="zh-CN"/>
        </w:rPr>
      </w:pPr>
      <w:r>
        <w:rPr>
          <w:rFonts w:hint="eastAsia" w:ascii="仿宋" w:hAnsi="仿宋" w:eastAsia="仿宋"/>
          <w:b/>
          <w:bCs/>
          <w:sz w:val="32"/>
          <w:szCs w:val="32"/>
          <w:lang w:val="zh-CN"/>
        </w:rPr>
        <w:t>2.2.2 教师教学投入</w:t>
      </w:r>
    </w:p>
    <w:p>
      <w:pPr>
        <w:spacing w:before="0" w:beforeAutospacing="0" w:after="0" w:afterAutospacing="0"/>
        <w:ind w:firstLine="640" w:firstLineChars="200"/>
        <w:rPr>
          <w:rFonts w:hint="eastAsia" w:ascii="仿宋" w:hAnsi="仿宋" w:eastAsia="仿宋"/>
          <w:sz w:val="32"/>
          <w:szCs w:val="32"/>
          <w:lang w:val="zh-CN"/>
        </w:rPr>
      </w:pPr>
      <w:r>
        <w:rPr>
          <w:rFonts w:hint="eastAsia" w:ascii="仿宋" w:hAnsi="仿宋" w:eastAsia="仿宋"/>
          <w:sz w:val="32"/>
          <w:szCs w:val="32"/>
          <w:lang w:val="zh-CN"/>
        </w:rPr>
        <w:t>食品专业课程由教授、副教授、讲师承担重点课程、核心课程的教学工作，保证本科学生得到最好的教育资源，并通过以老带新原则由青年教师辅助教学。在岗教授、副教授还承担着实验、实习、毕业设计等实践教学环节，在教学过程中不断提升学生的实践技能和科研素养。</w:t>
      </w:r>
    </w:p>
    <w:p>
      <w:pPr>
        <w:spacing w:before="0" w:beforeAutospacing="0" w:after="0" w:afterAutospacing="0"/>
        <w:rPr>
          <w:rFonts w:hint="eastAsia" w:ascii="仿宋" w:hAnsi="仿宋" w:eastAsia="仿宋"/>
          <w:b/>
          <w:bCs/>
          <w:sz w:val="32"/>
          <w:szCs w:val="32"/>
          <w:lang w:val="zh-CN"/>
        </w:rPr>
      </w:pPr>
      <w:r>
        <w:rPr>
          <w:rFonts w:hint="eastAsia" w:ascii="仿宋" w:hAnsi="仿宋" w:eastAsia="仿宋"/>
          <w:b/>
          <w:bCs/>
          <w:sz w:val="32"/>
          <w:szCs w:val="32"/>
          <w:lang w:val="zh-CN"/>
        </w:rPr>
        <w:t>2.2.3 师德师风</w:t>
      </w:r>
    </w:p>
    <w:p>
      <w:pPr>
        <w:spacing w:before="0" w:beforeAutospacing="0" w:after="0" w:afterAutospacing="0"/>
        <w:ind w:firstLine="640" w:firstLineChars="200"/>
        <w:rPr>
          <w:rFonts w:hint="eastAsia" w:ascii="仿宋" w:hAnsi="仿宋" w:eastAsia="仿宋"/>
          <w:sz w:val="32"/>
          <w:szCs w:val="32"/>
          <w:lang w:val="zh-CN"/>
        </w:rPr>
      </w:pPr>
      <w:r>
        <w:rPr>
          <w:rFonts w:hint="eastAsia" w:ascii="仿宋" w:hAnsi="仿宋" w:eastAsia="仿宋"/>
          <w:sz w:val="32"/>
          <w:szCs w:val="32"/>
          <w:lang w:val="zh-CN"/>
        </w:rPr>
        <w:t>食品专业教师全部要通过岗前培训考试后上岗，每位教师都能自觉践行高校教师职业道德规范，以四有好老师为标准，规范言行、注重为人师表。各个专业为新引进的青年教师配备指导教师，实现“以老带新”一对一指导，对于青年教师迅速成长大有裨益。</w:t>
      </w:r>
    </w:p>
    <w:p>
      <w:pPr>
        <w:spacing w:before="0" w:beforeAutospacing="0" w:after="0" w:afterAutospacing="0"/>
        <w:ind w:firstLine="640" w:firstLineChars="200"/>
        <w:rPr>
          <w:rFonts w:hint="eastAsia" w:ascii="仿宋" w:hAnsi="仿宋" w:eastAsia="仿宋"/>
          <w:sz w:val="32"/>
          <w:szCs w:val="32"/>
          <w:lang w:val="zh-CN"/>
        </w:rPr>
      </w:pPr>
      <w:r>
        <w:rPr>
          <w:rFonts w:hint="eastAsia" w:ascii="仿宋" w:hAnsi="仿宋" w:eastAsia="仿宋"/>
          <w:sz w:val="32"/>
          <w:szCs w:val="32"/>
          <w:lang w:val="zh-CN"/>
        </w:rPr>
        <w:t>强化师德师风建设，提升教师道德素质。持续开展师德师风建设活动，通过讲座、观看师德师风视频、树立典型等活动，引导教师倾心教学、潜心研究、悉心育人。有1名教师获评省级师德师风先进个人。</w:t>
      </w:r>
    </w:p>
    <w:p>
      <w:pPr>
        <w:spacing w:before="0" w:beforeAutospacing="0" w:after="0" w:afterAutospacing="0"/>
        <w:rPr>
          <w:rFonts w:hint="eastAsia" w:ascii="仿宋" w:hAnsi="仿宋" w:eastAsia="仿宋"/>
          <w:b/>
          <w:bCs/>
          <w:sz w:val="32"/>
          <w:szCs w:val="32"/>
          <w:lang w:val="zh-CN"/>
        </w:rPr>
      </w:pPr>
      <w:r>
        <w:rPr>
          <w:rFonts w:hint="eastAsia" w:ascii="仿宋" w:hAnsi="仿宋" w:eastAsia="仿宋"/>
          <w:b/>
          <w:bCs/>
          <w:sz w:val="32"/>
          <w:szCs w:val="32"/>
          <w:lang w:val="zh-CN"/>
        </w:rPr>
        <w:t>2.2.4 教师科研水平</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科研是提升教师学业水平和教学能力的有效途径。食品教研室始终以教学促科研、以科研促教学，积极组织老教师带领年青教师进行教学科研活动，指导年青教师进行科学研究。除了在教研室就教学重点、难点、热点开展研究探讨外，积极申报课题立项。近四年来教师承担各类科研项目18项（在研12项）；发表学术论文30余篇；授权专利7项；获市、校级科研奖项3项；编写教材、著作6部。</w:t>
      </w:r>
    </w:p>
    <w:p>
      <w:pPr>
        <w:pStyle w:val="3"/>
        <w:spacing w:beforeLines="20" w:afterLines="20" w:line="420" w:lineRule="exact"/>
        <w:rPr>
          <w:rFonts w:hint="eastAsia" w:ascii="楷体" w:hAnsi="楷体" w:eastAsia="楷体" w:cs="Times New Roman"/>
          <w:b/>
          <w:bCs w:val="0"/>
          <w:kern w:val="2"/>
          <w:sz w:val="32"/>
          <w:szCs w:val="32"/>
          <w:lang w:val="en-US" w:eastAsia="zh-CN" w:bidi="ar-SA"/>
        </w:rPr>
      </w:pPr>
      <w:bookmarkStart w:id="11" w:name="_Toc103005268"/>
      <w:r>
        <w:rPr>
          <w:rFonts w:hint="eastAsia" w:ascii="楷体" w:hAnsi="楷体" w:eastAsia="楷体" w:cs="Times New Roman"/>
          <w:b/>
          <w:bCs w:val="0"/>
          <w:kern w:val="2"/>
          <w:sz w:val="32"/>
          <w:szCs w:val="32"/>
          <w:lang w:val="en-US" w:eastAsia="zh-CN" w:bidi="ar-SA"/>
        </w:rPr>
        <w:t>2.3 师资队伍建设</w:t>
      </w:r>
      <w:bookmarkEnd w:id="11"/>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按照黑龙江工业学院“1146”发展思路，将持续引进硕士、博士，逐步缓解目前总体师资不足的现状。师资队伍建设工作总体上采取人才引进与自培相结合的方式。培育高水平学科带头人和业务扎实的中青年骨干教师、培训具有竞争力的青年教师。在青年教师的培养中充分发挥老教师的“传、帮、带”作用。以教研室为单位称牵头的教学团队，定期研讨教学，提高教学能力。教研室高度重视本科教学，突出教学工作的核心地位，鼓励青年教师投入教学研究、参与教学改革、提高自身业务素质。教师积极参与申报教研、教改项目，不断更新教学理念、教学内容、教学模式、教学方法和教学手段。努力壮大师资队伍，优化队伍结构，提高教学水平。</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（1）专家听课指导，提高教学能力</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 xml:space="preserve">学校配备教学督导组，专家随机听课范围覆盖所有教师。院系也设有教学督导组，重点听新上课和上新课教师。对新引进的青年教师安排指导教师，一对一的指导教学实践，使其尽快站稳讲台，持续不断提高教学能力。 </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 xml:space="preserve">（2）以赛促讲，提高授课质量 </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学校举办教师慕课和课件大赛等各项教学比赛，教研室积极组织35岁以下青年教师参加比赛，选出教学效果优秀教师，参加学校教学比赛该举措调动了广大教师从事本科教学的热情，在一定程度上促进了青年教师授课水平和业务能力。</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 xml:space="preserve">（3）参加交流和培训，提升教学水平 </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学校每年分批选派教师参加国内外学术交流活动和学科专业年会，参加专业课程、新技术、科研项目等专项培训，提升教师教育教学水平与教学研究能力。还要求青年教师每年进行挂职锻炼，让青年教师到相关企业去挂职，进行一线实习，从而提升教师的实践能力和科研水平。</w:t>
      </w:r>
    </w:p>
    <w:p>
      <w:pPr>
        <w:pStyle w:val="2"/>
        <w:spacing w:beforeLines="20" w:afterLines="20" w:line="420" w:lineRule="exact"/>
        <w:rPr>
          <w:rFonts w:hint="eastAsia" w:ascii="黑体" w:hAnsi="黑体" w:eastAsia="黑体" w:cs="Times New Roman"/>
          <w:b/>
          <w:bCs w:val="0"/>
          <w:kern w:val="2"/>
          <w:sz w:val="32"/>
          <w:szCs w:val="32"/>
          <w:lang w:val="en-US" w:eastAsia="zh-CN" w:bidi="ar-SA"/>
        </w:rPr>
      </w:pPr>
      <w:bookmarkStart w:id="12" w:name="_Toc103005269"/>
      <w:r>
        <w:rPr>
          <w:rFonts w:hint="eastAsia" w:ascii="黑体" w:hAnsi="黑体" w:eastAsia="黑体" w:cs="Times New Roman"/>
          <w:b/>
          <w:bCs w:val="0"/>
          <w:kern w:val="2"/>
          <w:sz w:val="32"/>
          <w:szCs w:val="32"/>
          <w:lang w:val="en-US" w:eastAsia="zh-CN" w:bidi="ar-SA"/>
        </w:rPr>
        <w:t>3 教学工作</w:t>
      </w:r>
      <w:bookmarkEnd w:id="12"/>
    </w:p>
    <w:p>
      <w:pPr>
        <w:pStyle w:val="3"/>
        <w:spacing w:beforeLines="20" w:afterLines="20" w:line="420" w:lineRule="exact"/>
        <w:rPr>
          <w:rFonts w:hint="eastAsia" w:ascii="楷体" w:hAnsi="楷体" w:eastAsia="楷体" w:cs="Times New Roman"/>
          <w:b/>
          <w:bCs w:val="0"/>
          <w:kern w:val="2"/>
          <w:sz w:val="32"/>
          <w:szCs w:val="32"/>
          <w:lang w:val="en-US" w:eastAsia="zh-CN" w:bidi="ar-SA"/>
        </w:rPr>
      </w:pPr>
      <w:bookmarkStart w:id="13" w:name="_Toc103005270"/>
      <w:r>
        <w:rPr>
          <w:rFonts w:hint="eastAsia" w:ascii="楷体" w:hAnsi="楷体" w:eastAsia="楷体" w:cs="Times New Roman"/>
          <w:b/>
          <w:bCs w:val="0"/>
          <w:kern w:val="2"/>
          <w:sz w:val="32"/>
          <w:szCs w:val="32"/>
          <w:lang w:val="en-US" w:eastAsia="zh-CN" w:bidi="ar-SA"/>
        </w:rPr>
        <w:t>3.1 教学计划</w:t>
      </w:r>
      <w:bookmarkEnd w:id="13"/>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（1）人才培养方案的制定</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参照《国家中长期教育改革和发展规划纲要(2010-2020)》、《国家中长期人才发展规划纲要（2010-2020）》以及黑龙江工业学院1146发展规划等文件，明确了专业建设规划和发展思路。食品专业教学计划的制定符合</w:t>
      </w:r>
      <w:bookmarkStart w:id="14" w:name="_Toc390438605"/>
      <w:r>
        <w:rPr>
          <w:rFonts w:hint="eastAsia" w:ascii="仿宋" w:hAnsi="仿宋" w:eastAsia="仿宋"/>
          <w:sz w:val="32"/>
          <w:szCs w:val="32"/>
        </w:rPr>
        <w:t>《黑龙江工业学院关于修订本科人才培养方案的原则意见</w:t>
      </w:r>
      <w:bookmarkEnd w:id="14"/>
      <w:r>
        <w:rPr>
          <w:rFonts w:hint="eastAsia" w:ascii="仿宋" w:hAnsi="仿宋" w:eastAsia="仿宋"/>
          <w:sz w:val="32"/>
          <w:szCs w:val="32"/>
        </w:rPr>
        <w:t>》及实施细则要求，全面贯彻加强基础、拓宽专业、增强能力、突出特色的指导思想。为充分体现专业的特点，适应企业对人才的需求，在广泛调研和反复讨论基础上确定人才培养方案，并且在专业建设过程中，不断修订和改进，优化课程体系，使人才培养方案日趋完善。</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培养方案中设置专业应用类，专业学术类，复合应用类人才培养体系，通过专业方向模块形式使知识/能力、知识/能力要求、支撑课程类型、支撑课程（环节）名称形成有效对应关系，一门课程对应多项能力，一项能力有多门课程支撑。</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（2）教学计划的执行与调整</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人才培养方案由教务处和学院负责组织执行，任何单位和个人不得擅自调整培养方案。食品专业严格依照培养方案制订年度执行计划，安排每学期课程。对因特殊原因确需更改培养方案的，由学院向学校教务处提出申请，经教务处审批后方可执行。食品质量与安全专业成立至今，专业的教学计划运行正常，课程开设合理，2018级食品本科专业课程全部开出。</w:t>
      </w:r>
    </w:p>
    <w:p>
      <w:pPr>
        <w:pStyle w:val="3"/>
        <w:spacing w:beforeLines="20" w:afterLines="20" w:line="420" w:lineRule="exact"/>
        <w:rPr>
          <w:rFonts w:hint="eastAsia" w:ascii="楷体" w:hAnsi="楷体" w:eastAsia="楷体" w:cs="Times New Roman"/>
          <w:b/>
          <w:bCs w:val="0"/>
          <w:kern w:val="2"/>
          <w:sz w:val="32"/>
          <w:szCs w:val="32"/>
          <w:lang w:val="en-US" w:eastAsia="zh-CN" w:bidi="ar-SA"/>
        </w:rPr>
      </w:pPr>
      <w:bookmarkStart w:id="15" w:name="_Toc103005271"/>
      <w:r>
        <w:rPr>
          <w:rFonts w:hint="eastAsia" w:ascii="楷体" w:hAnsi="楷体" w:eastAsia="楷体" w:cs="Times New Roman"/>
          <w:b/>
          <w:bCs w:val="0"/>
          <w:kern w:val="2"/>
          <w:sz w:val="32"/>
          <w:szCs w:val="32"/>
          <w:lang w:val="en-US" w:eastAsia="zh-CN" w:bidi="ar-SA"/>
        </w:rPr>
        <w:t>3.2 课程建设</w:t>
      </w:r>
      <w:bookmarkEnd w:id="15"/>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在深入研究人才培养定位和目标要求基础上，食品专业把深化教学内容和课程体系改革当做课程建设的基本任务。在课程建设方面，加强专业课程建设，突出专业特色。专业课不仅是专业知识结构的基本骨架，而且是进行专业研究和获取新知识、增强分析和解决问题能力的知识基础。学院重视学生的个性发展，建立灵活、开放的课程体系，落实学生在教学过程中的主体地位。在课程设置上，设置了公共选修学分6分，将文化素质教育、专业知识教育与基本技能培养有机地结合起来，为培养学生的创新意识和创新能力奠定坚实基础。按照培养目标课程、学科要求，合理设置公共课、专业主干课程、专业必修课程、专业选修课程，课程数量、学时、学分安排合理。以2018级培养方案为例：</w:t>
      </w:r>
    </w:p>
    <w:p>
      <w:pPr>
        <w:widowControl/>
        <w:spacing w:line="480" w:lineRule="exact"/>
        <w:jc w:val="center"/>
        <w:textAlignment w:val="center"/>
        <w:rPr>
          <w:rFonts w:hint="eastAsia" w:ascii="仿宋" w:hAnsi="仿宋" w:eastAsia="仿宋" w:cs="仿宋"/>
          <w:color w:val="000000"/>
          <w:kern w:val="0"/>
          <w:szCs w:val="21"/>
          <w:lang w:val="zh-CN"/>
        </w:rPr>
      </w:pPr>
      <w:r>
        <w:rPr>
          <w:rFonts w:hint="eastAsia" w:ascii="仿宋" w:hAnsi="仿宋" w:eastAsia="仿宋" w:cs="仿宋"/>
          <w:color w:val="000000"/>
          <w:kern w:val="0"/>
          <w:sz w:val="28"/>
          <w:szCs w:val="28"/>
          <w:lang w:val="zh-CN"/>
        </w:rPr>
        <w:t>表3-1  食品专业课程门数、学时、学分</w:t>
      </w:r>
    </w:p>
    <w:tbl>
      <w:tblPr>
        <w:tblStyle w:val="13"/>
        <w:tblW w:w="828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3"/>
        <w:gridCol w:w="2479"/>
        <w:gridCol w:w="1611"/>
        <w:gridCol w:w="20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2143" w:type="dxa"/>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lang w:val="zh-CN"/>
              </w:rPr>
            </w:pPr>
            <w:r>
              <w:rPr>
                <w:rFonts w:hint="eastAsia" w:ascii="仿宋" w:hAnsi="仿宋" w:eastAsia="仿宋" w:cs="仿宋"/>
                <w:color w:val="000000"/>
                <w:kern w:val="0"/>
                <w:sz w:val="21"/>
                <w:szCs w:val="21"/>
                <w:lang w:val="zh-CN"/>
              </w:rPr>
              <w:t>专业名称</w:t>
            </w:r>
          </w:p>
        </w:tc>
        <w:tc>
          <w:tcPr>
            <w:tcW w:w="4090" w:type="dxa"/>
            <w:gridSpan w:val="2"/>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lang w:val="zh-CN"/>
              </w:rPr>
            </w:pPr>
            <w:r>
              <w:rPr>
                <w:rFonts w:hint="eastAsia" w:ascii="仿宋" w:hAnsi="仿宋" w:eastAsia="仿宋" w:cs="仿宋"/>
                <w:bCs/>
                <w:color w:val="000000"/>
                <w:kern w:val="0"/>
                <w:sz w:val="21"/>
                <w:szCs w:val="21"/>
                <w:lang w:val="zh-CN"/>
              </w:rPr>
              <w:t>食品质量与安全</w:t>
            </w:r>
          </w:p>
        </w:tc>
        <w:tc>
          <w:tcPr>
            <w:tcW w:w="2048" w:type="dxa"/>
            <w:shd w:val="clear" w:color="000000" w:fill="FFFFFF"/>
            <w:vAlign w:val="center"/>
          </w:tcPr>
          <w:p>
            <w:pPr>
              <w:autoSpaceDE w:val="0"/>
              <w:autoSpaceDN w:val="0"/>
              <w:adjustRightInd w:val="0"/>
              <w:jc w:val="center"/>
              <w:rPr>
                <w:rFonts w:hint="eastAsia" w:ascii="仿宋" w:hAnsi="仿宋" w:eastAsia="仿宋" w:cs="仿宋"/>
                <w:bCs/>
                <w:color w:val="000000"/>
                <w:kern w:val="0"/>
                <w:sz w:val="21"/>
                <w:szCs w:val="21"/>
                <w:lang w:val="zh-CN"/>
              </w:rPr>
            </w:pPr>
            <w:r>
              <w:rPr>
                <w:rFonts w:hint="eastAsia" w:ascii="仿宋" w:hAnsi="仿宋" w:eastAsia="仿宋" w:cs="仿宋"/>
                <w:bCs/>
                <w:color w:val="000000"/>
                <w:kern w:val="0"/>
                <w:sz w:val="21"/>
                <w:szCs w:val="21"/>
                <w:lang w:val="zh-CN"/>
              </w:rPr>
              <w:t>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2143" w:type="dxa"/>
            <w:vMerge w:val="restart"/>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lang w:val="zh-CN"/>
              </w:rPr>
            </w:pPr>
            <w:r>
              <w:rPr>
                <w:rFonts w:hint="eastAsia" w:ascii="仿宋" w:hAnsi="仿宋" w:eastAsia="仿宋" w:cs="仿宋"/>
                <w:bCs/>
                <w:color w:val="000000"/>
                <w:kern w:val="0"/>
                <w:sz w:val="21"/>
                <w:szCs w:val="21"/>
                <w:lang w:val="zh-CN"/>
              </w:rPr>
              <w:t>课程门数</w:t>
            </w:r>
          </w:p>
        </w:tc>
        <w:tc>
          <w:tcPr>
            <w:tcW w:w="2479" w:type="dxa"/>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lang w:val="zh-CN"/>
              </w:rPr>
            </w:pPr>
            <w:r>
              <w:rPr>
                <w:rFonts w:hint="eastAsia" w:ascii="仿宋" w:hAnsi="仿宋" w:eastAsia="仿宋" w:cs="仿宋"/>
                <w:color w:val="000000"/>
                <w:kern w:val="0"/>
                <w:sz w:val="21"/>
                <w:szCs w:val="21"/>
                <w:lang w:val="zh-CN"/>
              </w:rPr>
              <w:t>公共必修课</w:t>
            </w:r>
          </w:p>
        </w:tc>
        <w:tc>
          <w:tcPr>
            <w:tcW w:w="1611" w:type="dxa"/>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lang w:val="zh-CN"/>
              </w:rPr>
            </w:pPr>
            <w:r>
              <w:rPr>
                <w:rFonts w:hint="eastAsia" w:ascii="仿宋" w:hAnsi="仿宋" w:eastAsia="仿宋" w:cs="仿宋"/>
                <w:color w:val="000000"/>
                <w:kern w:val="0"/>
                <w:sz w:val="21"/>
                <w:szCs w:val="21"/>
                <w:lang w:val="zh-CN"/>
              </w:rPr>
              <w:t>20</w:t>
            </w:r>
          </w:p>
        </w:tc>
        <w:tc>
          <w:tcPr>
            <w:tcW w:w="2048" w:type="dxa"/>
            <w:vMerge w:val="restart"/>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lang w:val="zh-CN"/>
              </w:rPr>
            </w:pPr>
            <w:r>
              <w:rPr>
                <w:rFonts w:hint="eastAsia" w:ascii="仿宋" w:hAnsi="仿宋" w:eastAsia="仿宋" w:cs="仿宋"/>
                <w:color w:val="000000"/>
                <w:kern w:val="0"/>
                <w:sz w:val="21"/>
                <w:szCs w:val="21"/>
                <w:lang w:val="zh-CN"/>
              </w:rPr>
              <w:t>64门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2143" w:type="dxa"/>
            <w:vMerge w:val="continue"/>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lang w:val="zh-CN"/>
              </w:rPr>
            </w:pPr>
          </w:p>
        </w:tc>
        <w:tc>
          <w:tcPr>
            <w:tcW w:w="2479" w:type="dxa"/>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lang w:val="zh-CN"/>
              </w:rPr>
            </w:pPr>
            <w:r>
              <w:rPr>
                <w:rFonts w:hint="eastAsia" w:ascii="仿宋" w:hAnsi="仿宋" w:eastAsia="仿宋" w:cs="仿宋"/>
                <w:color w:val="000000"/>
                <w:kern w:val="0"/>
                <w:sz w:val="21"/>
                <w:szCs w:val="21"/>
                <w:lang w:val="zh-CN"/>
              </w:rPr>
              <w:t>专业基础必修课</w:t>
            </w:r>
          </w:p>
        </w:tc>
        <w:tc>
          <w:tcPr>
            <w:tcW w:w="1611" w:type="dxa"/>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lang w:val="zh-CN"/>
              </w:rPr>
            </w:pPr>
            <w:r>
              <w:rPr>
                <w:rFonts w:hint="eastAsia" w:ascii="仿宋" w:hAnsi="仿宋" w:eastAsia="仿宋" w:cs="仿宋"/>
                <w:color w:val="000000"/>
                <w:kern w:val="0"/>
                <w:sz w:val="21"/>
                <w:szCs w:val="21"/>
                <w:lang w:val="zh-CN"/>
              </w:rPr>
              <w:t>13</w:t>
            </w:r>
          </w:p>
        </w:tc>
        <w:tc>
          <w:tcPr>
            <w:tcW w:w="2048" w:type="dxa"/>
            <w:vMerge w:val="continue"/>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2143" w:type="dxa"/>
            <w:vMerge w:val="continue"/>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lang w:val="zh-CN"/>
              </w:rPr>
            </w:pPr>
          </w:p>
        </w:tc>
        <w:tc>
          <w:tcPr>
            <w:tcW w:w="2479" w:type="dxa"/>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lang w:val="zh-CN"/>
              </w:rPr>
            </w:pPr>
            <w:r>
              <w:rPr>
                <w:rFonts w:hint="eastAsia" w:ascii="仿宋" w:hAnsi="仿宋" w:eastAsia="仿宋" w:cs="仿宋"/>
                <w:color w:val="000000"/>
                <w:kern w:val="0"/>
                <w:sz w:val="21"/>
                <w:szCs w:val="21"/>
                <w:lang w:val="zh-CN"/>
              </w:rPr>
              <w:t>专业主干必修课</w:t>
            </w:r>
          </w:p>
        </w:tc>
        <w:tc>
          <w:tcPr>
            <w:tcW w:w="1611" w:type="dxa"/>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lang w:val="zh-CN"/>
              </w:rPr>
            </w:pPr>
            <w:r>
              <w:rPr>
                <w:rFonts w:hint="eastAsia" w:ascii="仿宋" w:hAnsi="仿宋" w:eastAsia="仿宋" w:cs="仿宋"/>
                <w:color w:val="000000"/>
                <w:kern w:val="0"/>
                <w:sz w:val="21"/>
                <w:szCs w:val="21"/>
                <w:lang w:val="zh-CN"/>
              </w:rPr>
              <w:t>13</w:t>
            </w:r>
          </w:p>
        </w:tc>
        <w:tc>
          <w:tcPr>
            <w:tcW w:w="2048" w:type="dxa"/>
            <w:vMerge w:val="continue"/>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2143" w:type="dxa"/>
            <w:vMerge w:val="continue"/>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lang w:val="zh-CN"/>
              </w:rPr>
            </w:pPr>
          </w:p>
        </w:tc>
        <w:tc>
          <w:tcPr>
            <w:tcW w:w="2479" w:type="dxa"/>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lang w:val="zh-CN"/>
              </w:rPr>
            </w:pPr>
            <w:r>
              <w:rPr>
                <w:rFonts w:hint="eastAsia" w:ascii="仿宋" w:hAnsi="仿宋" w:eastAsia="仿宋" w:cs="仿宋"/>
                <w:color w:val="000000"/>
                <w:kern w:val="0"/>
                <w:sz w:val="21"/>
                <w:szCs w:val="21"/>
                <w:lang w:val="zh-CN"/>
              </w:rPr>
              <w:t>专业选修课</w:t>
            </w:r>
          </w:p>
        </w:tc>
        <w:tc>
          <w:tcPr>
            <w:tcW w:w="1611" w:type="dxa"/>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lang w:val="zh-CN"/>
              </w:rPr>
            </w:pPr>
            <w:r>
              <w:rPr>
                <w:rFonts w:hint="eastAsia" w:ascii="仿宋" w:hAnsi="仿宋" w:eastAsia="仿宋" w:cs="仿宋"/>
                <w:color w:val="000000"/>
                <w:kern w:val="0"/>
                <w:sz w:val="21"/>
                <w:szCs w:val="21"/>
                <w:lang w:val="zh-CN"/>
              </w:rPr>
              <w:t>18</w:t>
            </w:r>
          </w:p>
        </w:tc>
        <w:tc>
          <w:tcPr>
            <w:tcW w:w="2048" w:type="dxa"/>
            <w:vMerge w:val="continue"/>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2143" w:type="dxa"/>
            <w:vMerge w:val="restart"/>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lang w:val="zh-CN"/>
              </w:rPr>
            </w:pPr>
            <w:r>
              <w:rPr>
                <w:rFonts w:hint="eastAsia" w:ascii="仿宋" w:hAnsi="仿宋" w:eastAsia="仿宋" w:cs="仿宋"/>
                <w:bCs/>
                <w:color w:val="000000"/>
                <w:kern w:val="0"/>
                <w:sz w:val="21"/>
                <w:szCs w:val="21"/>
                <w:lang w:val="zh-CN"/>
              </w:rPr>
              <w:t>课程学时数</w:t>
            </w:r>
          </w:p>
        </w:tc>
        <w:tc>
          <w:tcPr>
            <w:tcW w:w="2479" w:type="dxa"/>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lang w:val="zh-CN"/>
              </w:rPr>
            </w:pPr>
            <w:r>
              <w:rPr>
                <w:rFonts w:hint="eastAsia" w:ascii="仿宋" w:hAnsi="仿宋" w:eastAsia="仿宋" w:cs="仿宋"/>
                <w:color w:val="000000"/>
                <w:kern w:val="0"/>
                <w:sz w:val="21"/>
                <w:szCs w:val="21"/>
              </w:rPr>
              <w:t>必修课学时数</w:t>
            </w:r>
          </w:p>
        </w:tc>
        <w:tc>
          <w:tcPr>
            <w:tcW w:w="1611" w:type="dxa"/>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lang w:val="zh-CN"/>
              </w:rPr>
            </w:pPr>
            <w:r>
              <w:rPr>
                <w:rFonts w:hint="eastAsia" w:ascii="仿宋" w:hAnsi="仿宋" w:eastAsia="仿宋" w:cs="仿宋"/>
                <w:color w:val="000000"/>
                <w:kern w:val="0"/>
                <w:sz w:val="21"/>
                <w:szCs w:val="21"/>
                <w:lang w:val="zh-CN"/>
              </w:rPr>
              <w:t>2045</w:t>
            </w:r>
          </w:p>
        </w:tc>
        <w:tc>
          <w:tcPr>
            <w:tcW w:w="2048" w:type="dxa"/>
            <w:vMerge w:val="restart"/>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lang w:val="zh-CN"/>
              </w:rPr>
            </w:pPr>
            <w:r>
              <w:rPr>
                <w:rFonts w:hint="eastAsia" w:ascii="仿宋" w:hAnsi="仿宋" w:eastAsia="仿宋" w:cs="仿宋"/>
                <w:color w:val="000000"/>
                <w:kern w:val="0"/>
                <w:sz w:val="21"/>
                <w:szCs w:val="21"/>
                <w:lang w:val="zh-CN"/>
              </w:rPr>
              <w:t>2557学时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2143" w:type="dxa"/>
            <w:vMerge w:val="continue"/>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lang w:val="zh-CN"/>
              </w:rPr>
            </w:pPr>
          </w:p>
        </w:tc>
        <w:tc>
          <w:tcPr>
            <w:tcW w:w="2479" w:type="dxa"/>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lang w:val="zh-CN"/>
              </w:rPr>
            </w:pPr>
            <w:r>
              <w:rPr>
                <w:rFonts w:hint="eastAsia" w:ascii="仿宋" w:hAnsi="仿宋" w:eastAsia="仿宋" w:cs="仿宋"/>
                <w:color w:val="000000"/>
                <w:kern w:val="0"/>
                <w:sz w:val="21"/>
                <w:szCs w:val="21"/>
              </w:rPr>
              <w:t>选修课学时数</w:t>
            </w:r>
          </w:p>
        </w:tc>
        <w:tc>
          <w:tcPr>
            <w:tcW w:w="1611" w:type="dxa"/>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lang w:val="zh-CN"/>
              </w:rPr>
            </w:pPr>
            <w:r>
              <w:rPr>
                <w:rFonts w:hint="eastAsia" w:ascii="仿宋" w:hAnsi="仿宋" w:eastAsia="仿宋" w:cs="仿宋"/>
                <w:color w:val="000000"/>
                <w:kern w:val="0"/>
                <w:sz w:val="21"/>
                <w:szCs w:val="21"/>
                <w:lang w:val="zh-CN"/>
              </w:rPr>
              <w:t>512</w:t>
            </w:r>
          </w:p>
        </w:tc>
        <w:tc>
          <w:tcPr>
            <w:tcW w:w="2048" w:type="dxa"/>
            <w:vMerge w:val="continue"/>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2143" w:type="dxa"/>
            <w:vMerge w:val="continue"/>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lang w:val="zh-CN"/>
              </w:rPr>
            </w:pPr>
          </w:p>
        </w:tc>
        <w:tc>
          <w:tcPr>
            <w:tcW w:w="2479" w:type="dxa"/>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课内教学学时数</w:t>
            </w:r>
          </w:p>
        </w:tc>
        <w:tc>
          <w:tcPr>
            <w:tcW w:w="1611" w:type="dxa"/>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lang w:val="zh-CN"/>
              </w:rPr>
            </w:pPr>
            <w:r>
              <w:rPr>
                <w:rFonts w:hint="eastAsia" w:ascii="仿宋" w:hAnsi="仿宋" w:eastAsia="仿宋" w:cs="仿宋"/>
                <w:color w:val="000000"/>
                <w:kern w:val="0"/>
                <w:sz w:val="21"/>
                <w:szCs w:val="21"/>
                <w:lang w:val="zh-CN"/>
              </w:rPr>
              <w:t>2225</w:t>
            </w:r>
          </w:p>
        </w:tc>
        <w:tc>
          <w:tcPr>
            <w:tcW w:w="2048" w:type="dxa"/>
            <w:vMerge w:val="continue"/>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2143" w:type="dxa"/>
            <w:vMerge w:val="continue"/>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lang w:val="zh-CN"/>
              </w:rPr>
            </w:pPr>
          </w:p>
        </w:tc>
        <w:tc>
          <w:tcPr>
            <w:tcW w:w="2479" w:type="dxa"/>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实验教学学时数</w:t>
            </w:r>
          </w:p>
        </w:tc>
        <w:tc>
          <w:tcPr>
            <w:tcW w:w="1611" w:type="dxa"/>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lang w:val="zh-CN"/>
              </w:rPr>
            </w:pPr>
            <w:r>
              <w:rPr>
                <w:rFonts w:hint="eastAsia" w:ascii="仿宋" w:hAnsi="仿宋" w:eastAsia="仿宋" w:cs="仿宋"/>
                <w:color w:val="000000"/>
                <w:kern w:val="0"/>
                <w:sz w:val="21"/>
                <w:szCs w:val="21"/>
                <w:lang w:val="zh-CN"/>
              </w:rPr>
              <w:t>332</w:t>
            </w:r>
          </w:p>
        </w:tc>
        <w:tc>
          <w:tcPr>
            <w:tcW w:w="2048" w:type="dxa"/>
            <w:vMerge w:val="continue"/>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2143" w:type="dxa"/>
            <w:vMerge w:val="continue"/>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lang w:val="zh-CN"/>
              </w:rPr>
            </w:pPr>
          </w:p>
        </w:tc>
        <w:tc>
          <w:tcPr>
            <w:tcW w:w="2479" w:type="dxa"/>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实践教学周数</w:t>
            </w:r>
          </w:p>
        </w:tc>
        <w:tc>
          <w:tcPr>
            <w:tcW w:w="1611" w:type="dxa"/>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lang w:val="zh-CN"/>
              </w:rPr>
            </w:pPr>
            <w:r>
              <w:rPr>
                <w:rFonts w:hint="eastAsia" w:ascii="仿宋" w:hAnsi="仿宋" w:eastAsia="仿宋" w:cs="仿宋"/>
                <w:color w:val="000000"/>
                <w:kern w:val="0"/>
                <w:sz w:val="21"/>
                <w:szCs w:val="21"/>
                <w:lang w:val="zh-CN"/>
              </w:rPr>
              <w:t>34</w:t>
            </w:r>
          </w:p>
        </w:tc>
        <w:tc>
          <w:tcPr>
            <w:tcW w:w="2048" w:type="dxa"/>
            <w:vMerge w:val="continue"/>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2143" w:type="dxa"/>
            <w:vMerge w:val="restart"/>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lang w:val="zh-CN"/>
              </w:rPr>
            </w:pPr>
            <w:r>
              <w:rPr>
                <w:rFonts w:hint="eastAsia" w:ascii="仿宋" w:hAnsi="仿宋" w:eastAsia="仿宋" w:cs="仿宋"/>
                <w:bCs/>
                <w:color w:val="000000"/>
                <w:kern w:val="0"/>
                <w:sz w:val="21"/>
                <w:szCs w:val="21"/>
                <w:lang w:val="zh-CN"/>
              </w:rPr>
              <w:t>课程学分数</w:t>
            </w:r>
          </w:p>
        </w:tc>
        <w:tc>
          <w:tcPr>
            <w:tcW w:w="2479" w:type="dxa"/>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lang w:val="zh-CN"/>
              </w:rPr>
            </w:pPr>
            <w:r>
              <w:rPr>
                <w:rFonts w:hint="eastAsia" w:ascii="仿宋" w:hAnsi="仿宋" w:eastAsia="仿宋" w:cs="仿宋"/>
                <w:color w:val="000000"/>
                <w:kern w:val="0"/>
                <w:sz w:val="21"/>
                <w:szCs w:val="21"/>
              </w:rPr>
              <w:t>必修课学分数</w:t>
            </w:r>
          </w:p>
        </w:tc>
        <w:tc>
          <w:tcPr>
            <w:tcW w:w="1611" w:type="dxa"/>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lang w:val="zh-CN"/>
              </w:rPr>
            </w:pPr>
            <w:r>
              <w:rPr>
                <w:rFonts w:hint="eastAsia" w:ascii="仿宋" w:hAnsi="仿宋" w:eastAsia="仿宋" w:cs="仿宋"/>
                <w:color w:val="000000"/>
                <w:kern w:val="0"/>
                <w:sz w:val="21"/>
                <w:szCs w:val="21"/>
                <w:lang w:val="zh-CN"/>
              </w:rPr>
              <w:t>128.5</w:t>
            </w:r>
          </w:p>
        </w:tc>
        <w:tc>
          <w:tcPr>
            <w:tcW w:w="2048" w:type="dxa"/>
            <w:vMerge w:val="restart"/>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lang w:val="zh-CN"/>
              </w:rPr>
            </w:pPr>
            <w:r>
              <w:rPr>
                <w:rFonts w:hint="eastAsia" w:ascii="仿宋" w:hAnsi="仿宋" w:eastAsia="仿宋" w:cs="仿宋"/>
                <w:color w:val="000000"/>
                <w:kern w:val="0"/>
                <w:sz w:val="21"/>
                <w:szCs w:val="21"/>
                <w:lang w:val="zh-CN"/>
              </w:rPr>
              <w:t>160.5学分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2143" w:type="dxa"/>
            <w:vMerge w:val="continue"/>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lang w:val="zh-CN"/>
              </w:rPr>
            </w:pPr>
          </w:p>
        </w:tc>
        <w:tc>
          <w:tcPr>
            <w:tcW w:w="2479" w:type="dxa"/>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lang w:val="zh-CN"/>
              </w:rPr>
            </w:pPr>
            <w:r>
              <w:rPr>
                <w:rFonts w:hint="eastAsia" w:ascii="仿宋" w:hAnsi="仿宋" w:eastAsia="仿宋" w:cs="仿宋"/>
                <w:color w:val="000000"/>
                <w:kern w:val="0"/>
                <w:sz w:val="21"/>
                <w:szCs w:val="21"/>
              </w:rPr>
              <w:t>选修课学分数</w:t>
            </w:r>
          </w:p>
        </w:tc>
        <w:tc>
          <w:tcPr>
            <w:tcW w:w="1611" w:type="dxa"/>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lang w:val="zh-CN"/>
              </w:rPr>
            </w:pPr>
            <w:r>
              <w:rPr>
                <w:rFonts w:hint="eastAsia" w:ascii="仿宋" w:hAnsi="仿宋" w:eastAsia="仿宋" w:cs="仿宋"/>
                <w:color w:val="000000"/>
                <w:kern w:val="0"/>
                <w:sz w:val="21"/>
                <w:szCs w:val="21"/>
                <w:lang w:val="zh-CN"/>
              </w:rPr>
              <w:t>32</w:t>
            </w:r>
          </w:p>
        </w:tc>
        <w:tc>
          <w:tcPr>
            <w:tcW w:w="2048" w:type="dxa"/>
            <w:vMerge w:val="continue"/>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2143" w:type="dxa"/>
            <w:vMerge w:val="continue"/>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lang w:val="zh-CN"/>
              </w:rPr>
            </w:pPr>
          </w:p>
        </w:tc>
        <w:tc>
          <w:tcPr>
            <w:tcW w:w="2479" w:type="dxa"/>
            <w:shd w:val="clear" w:color="000000" w:fill="FFFFFF"/>
            <w:vAlign w:val="center"/>
          </w:tcPr>
          <w:p>
            <w:pPr>
              <w:widowControl/>
              <w:spacing w:line="480" w:lineRule="exact"/>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课内教学</w:t>
            </w:r>
          </w:p>
          <w:p>
            <w:pPr>
              <w:autoSpaceDE w:val="0"/>
              <w:autoSpaceDN w:val="0"/>
              <w:adjustRightInd w:val="0"/>
              <w:jc w:val="center"/>
              <w:rPr>
                <w:rFonts w:hint="eastAsia" w:ascii="仿宋" w:hAnsi="仿宋" w:eastAsia="仿宋" w:cs="仿宋"/>
                <w:color w:val="000000"/>
                <w:kern w:val="0"/>
                <w:sz w:val="21"/>
                <w:szCs w:val="21"/>
                <w:lang w:val="zh-CN"/>
              </w:rPr>
            </w:pPr>
            <w:r>
              <w:rPr>
                <w:rFonts w:hint="eastAsia" w:ascii="仿宋" w:hAnsi="仿宋" w:eastAsia="仿宋" w:cs="仿宋"/>
                <w:color w:val="000000"/>
                <w:kern w:val="0"/>
                <w:sz w:val="21"/>
                <w:szCs w:val="21"/>
              </w:rPr>
              <w:t>学分数</w:t>
            </w:r>
          </w:p>
        </w:tc>
        <w:tc>
          <w:tcPr>
            <w:tcW w:w="1611" w:type="dxa"/>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lang w:val="zh-CN"/>
              </w:rPr>
            </w:pPr>
            <w:r>
              <w:rPr>
                <w:rFonts w:hint="eastAsia" w:ascii="仿宋" w:hAnsi="仿宋" w:eastAsia="仿宋" w:cs="仿宋"/>
                <w:color w:val="000000"/>
                <w:kern w:val="0"/>
                <w:sz w:val="21"/>
                <w:szCs w:val="21"/>
                <w:lang w:val="zh-CN"/>
              </w:rPr>
              <w:t>120.5</w:t>
            </w:r>
          </w:p>
        </w:tc>
        <w:tc>
          <w:tcPr>
            <w:tcW w:w="2048" w:type="dxa"/>
            <w:vMerge w:val="continue"/>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2143" w:type="dxa"/>
            <w:vMerge w:val="continue"/>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lang w:val="zh-CN"/>
              </w:rPr>
            </w:pPr>
          </w:p>
        </w:tc>
        <w:tc>
          <w:tcPr>
            <w:tcW w:w="2479" w:type="dxa"/>
            <w:shd w:val="clear" w:color="000000" w:fill="FFFFFF"/>
            <w:vAlign w:val="center"/>
          </w:tcPr>
          <w:p>
            <w:pPr>
              <w:widowControl/>
              <w:spacing w:line="480" w:lineRule="exact"/>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实验教学</w:t>
            </w:r>
          </w:p>
          <w:p>
            <w:pPr>
              <w:autoSpaceDE w:val="0"/>
              <w:autoSpaceDN w:val="0"/>
              <w:adjustRightInd w:val="0"/>
              <w:jc w:val="center"/>
              <w:rPr>
                <w:rFonts w:hint="eastAsia" w:ascii="仿宋" w:hAnsi="仿宋" w:eastAsia="仿宋" w:cs="仿宋"/>
                <w:color w:val="000000"/>
                <w:kern w:val="0"/>
                <w:sz w:val="21"/>
                <w:szCs w:val="21"/>
                <w:lang w:val="zh-CN"/>
              </w:rPr>
            </w:pPr>
            <w:r>
              <w:rPr>
                <w:rFonts w:hint="eastAsia" w:ascii="仿宋" w:hAnsi="仿宋" w:eastAsia="仿宋" w:cs="仿宋"/>
                <w:color w:val="000000"/>
                <w:kern w:val="0"/>
                <w:sz w:val="21"/>
                <w:szCs w:val="21"/>
              </w:rPr>
              <w:t>学分数</w:t>
            </w:r>
          </w:p>
        </w:tc>
        <w:tc>
          <w:tcPr>
            <w:tcW w:w="1611" w:type="dxa"/>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lang w:val="zh-CN"/>
              </w:rPr>
            </w:pPr>
            <w:r>
              <w:rPr>
                <w:rFonts w:hint="eastAsia" w:ascii="仿宋" w:hAnsi="仿宋" w:eastAsia="仿宋" w:cs="仿宋"/>
                <w:color w:val="000000"/>
                <w:kern w:val="0"/>
                <w:sz w:val="21"/>
                <w:szCs w:val="21"/>
                <w:lang w:val="zh-CN"/>
              </w:rPr>
              <w:t>40</w:t>
            </w:r>
          </w:p>
        </w:tc>
        <w:tc>
          <w:tcPr>
            <w:tcW w:w="2048" w:type="dxa"/>
            <w:vMerge w:val="continue"/>
            <w:shd w:val="clear" w:color="000000" w:fill="FFFFFF"/>
            <w:vAlign w:val="center"/>
          </w:tcPr>
          <w:p>
            <w:pPr>
              <w:autoSpaceDE w:val="0"/>
              <w:autoSpaceDN w:val="0"/>
              <w:adjustRightInd w:val="0"/>
              <w:jc w:val="center"/>
              <w:rPr>
                <w:rFonts w:hint="eastAsia" w:ascii="仿宋" w:hAnsi="仿宋" w:eastAsia="仿宋" w:cs="仿宋"/>
                <w:color w:val="000000"/>
                <w:kern w:val="0"/>
                <w:sz w:val="21"/>
                <w:szCs w:val="21"/>
                <w:lang w:val="zh-CN"/>
              </w:rPr>
            </w:pPr>
          </w:p>
        </w:tc>
      </w:tr>
    </w:tbl>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设置专业方向模块，突出专业技能培养的系统性。专业选修课实行模块化设置的优势是有利于学生围绕某一门专业技能形成系统化的知识体系，同时又能扩大学生的知识范围，使学生形成较广博的知识基础和宽阔的知识视野。结合专业发展需求，利用模块化设置的优势，突出专业的系统性，提高学生的岗位胜任能力，以2018级为例：</w:t>
      </w:r>
    </w:p>
    <w:p>
      <w:pPr>
        <w:widowControl/>
        <w:spacing w:line="480" w:lineRule="exact"/>
        <w:jc w:val="center"/>
        <w:textAlignment w:val="center"/>
        <w:rPr>
          <w:rFonts w:hint="eastAsia" w:ascii="仿宋" w:hAnsi="仿宋" w:eastAsia="仿宋" w:cs="仿宋"/>
          <w:color w:val="000000"/>
          <w:kern w:val="0"/>
          <w:sz w:val="28"/>
          <w:szCs w:val="28"/>
          <w:lang w:val="zh-CN"/>
        </w:rPr>
      </w:pPr>
    </w:p>
    <w:p>
      <w:pPr>
        <w:widowControl/>
        <w:spacing w:line="480" w:lineRule="exact"/>
        <w:jc w:val="center"/>
        <w:textAlignment w:val="center"/>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表3-2  食品专业课程方向模块</w:t>
      </w:r>
    </w:p>
    <w:tbl>
      <w:tblPr>
        <w:tblStyle w:val="13"/>
        <w:tblW w:w="81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1"/>
        <w:gridCol w:w="5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2221" w:type="dxa"/>
            <w:vAlign w:val="center"/>
          </w:tcPr>
          <w:p>
            <w:pPr>
              <w:widowControl/>
              <w:spacing w:line="480" w:lineRule="exact"/>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专业</w:t>
            </w:r>
          </w:p>
        </w:tc>
        <w:tc>
          <w:tcPr>
            <w:tcW w:w="5943" w:type="dxa"/>
            <w:vAlign w:val="center"/>
          </w:tcPr>
          <w:p>
            <w:pPr>
              <w:widowControl/>
              <w:spacing w:line="480" w:lineRule="exact"/>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专业方向模块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2221" w:type="dxa"/>
            <w:vAlign w:val="center"/>
          </w:tcPr>
          <w:p>
            <w:pPr>
              <w:widowControl/>
              <w:spacing w:line="480" w:lineRule="exact"/>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食品质量与安全</w:t>
            </w:r>
          </w:p>
        </w:tc>
        <w:tc>
          <w:tcPr>
            <w:tcW w:w="5943" w:type="dxa"/>
            <w:vAlign w:val="center"/>
          </w:tcPr>
          <w:p>
            <w:pPr>
              <w:widowControl/>
              <w:spacing w:line="480" w:lineRule="exact"/>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食品检验，食品质量控制，食品营养</w:t>
            </w:r>
          </w:p>
        </w:tc>
      </w:tr>
    </w:tbl>
    <w:p>
      <w:pPr>
        <w:pStyle w:val="3"/>
        <w:spacing w:beforeLines="20" w:afterLines="20" w:line="420" w:lineRule="exact"/>
        <w:rPr>
          <w:rFonts w:hint="eastAsia" w:ascii="楷体" w:hAnsi="楷体" w:eastAsia="楷体" w:cs="Times New Roman"/>
          <w:b/>
          <w:bCs w:val="0"/>
          <w:kern w:val="2"/>
          <w:sz w:val="32"/>
          <w:szCs w:val="32"/>
          <w:lang w:val="en-US" w:eastAsia="zh-CN" w:bidi="ar-SA"/>
        </w:rPr>
      </w:pPr>
      <w:bookmarkStart w:id="16" w:name="_Toc103005272"/>
      <w:r>
        <w:rPr>
          <w:rFonts w:hint="eastAsia" w:ascii="楷体" w:hAnsi="楷体" w:eastAsia="楷体" w:cs="Times New Roman"/>
          <w:b/>
          <w:bCs w:val="0"/>
          <w:kern w:val="2"/>
          <w:sz w:val="32"/>
          <w:szCs w:val="32"/>
          <w:lang w:val="en-US" w:eastAsia="zh-CN" w:bidi="ar-SA"/>
        </w:rPr>
        <w:t>3.3 实践教学环节</w:t>
      </w:r>
      <w:bookmarkEnd w:id="16"/>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食品专业注重理论与实践的结合，努力使课程体系和教学内容理论与实践的结合。通过实践，可以使学生理论联系实际，发现和提出问题并运用所学理论加以解决，提高分析问题和解决问题的能力。还可以使学生亲自检验自己的实际水平和能力，发现自身的不足和缺点，提高学习的积极性和主动性。专业实验课程开设执行情况正常，运行良好。主要开设的实践性课程有基础化学实验、专业基础实验、食品检验基础实验、食品营养与毒理基础实验、食品质量与安全基础实验、认识实习、生产实习、专业综合实验、毕业设计、社会实践等。实验教学总学时332学时，独立性实践教学总周数34周。以2018级培养方案为例：</w:t>
      </w:r>
    </w:p>
    <w:p>
      <w:pPr>
        <w:widowControl/>
        <w:spacing w:line="480" w:lineRule="exact"/>
        <w:jc w:val="center"/>
        <w:textAlignment w:val="center"/>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表3-3  食品专业实验课程开设情况</w:t>
      </w:r>
    </w:p>
    <w:tbl>
      <w:tblPr>
        <w:tblStyle w:val="13"/>
        <w:tblW w:w="80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9"/>
        <w:gridCol w:w="2892"/>
        <w:gridCol w:w="2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2319" w:type="dxa"/>
          </w:tcPr>
          <w:p>
            <w:pPr>
              <w:spacing w:line="480" w:lineRule="exact"/>
              <w:jc w:val="center"/>
              <w:rPr>
                <w:rFonts w:hint="eastAsia" w:ascii="仿宋" w:hAnsi="仿宋" w:eastAsia="仿宋" w:cs="仿宋"/>
                <w:sz w:val="21"/>
                <w:szCs w:val="21"/>
              </w:rPr>
            </w:pPr>
            <w:r>
              <w:rPr>
                <w:rFonts w:hint="eastAsia" w:ascii="仿宋" w:hAnsi="仿宋" w:eastAsia="仿宋" w:cs="仿宋"/>
                <w:sz w:val="21"/>
                <w:szCs w:val="21"/>
              </w:rPr>
              <w:t>专业</w:t>
            </w:r>
          </w:p>
        </w:tc>
        <w:tc>
          <w:tcPr>
            <w:tcW w:w="2892" w:type="dxa"/>
          </w:tcPr>
          <w:p>
            <w:pPr>
              <w:spacing w:line="480" w:lineRule="exact"/>
              <w:jc w:val="center"/>
              <w:rPr>
                <w:rFonts w:hint="eastAsia" w:ascii="仿宋" w:hAnsi="仿宋" w:eastAsia="仿宋" w:cs="仿宋"/>
                <w:sz w:val="21"/>
                <w:szCs w:val="21"/>
              </w:rPr>
            </w:pPr>
            <w:r>
              <w:rPr>
                <w:rFonts w:hint="eastAsia" w:ascii="仿宋" w:hAnsi="仿宋" w:eastAsia="仿宋" w:cs="仿宋"/>
                <w:sz w:val="21"/>
                <w:szCs w:val="21"/>
              </w:rPr>
              <w:t>开设实验环节课程门数</w:t>
            </w:r>
          </w:p>
        </w:tc>
        <w:tc>
          <w:tcPr>
            <w:tcW w:w="2854" w:type="dxa"/>
          </w:tcPr>
          <w:p>
            <w:pPr>
              <w:spacing w:line="480" w:lineRule="exact"/>
              <w:jc w:val="center"/>
              <w:rPr>
                <w:rFonts w:hint="eastAsia" w:ascii="仿宋" w:hAnsi="仿宋" w:eastAsia="仿宋" w:cs="仿宋"/>
                <w:sz w:val="21"/>
                <w:szCs w:val="21"/>
              </w:rPr>
            </w:pPr>
            <w:r>
              <w:rPr>
                <w:rFonts w:hint="eastAsia" w:ascii="仿宋" w:hAnsi="仿宋" w:eastAsia="仿宋" w:cs="仿宋"/>
                <w:sz w:val="21"/>
                <w:szCs w:val="21"/>
              </w:rPr>
              <w:t>独立设置实验课程门数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319" w:type="dxa"/>
          </w:tcPr>
          <w:p>
            <w:pPr>
              <w:widowControl/>
              <w:spacing w:line="480" w:lineRule="exact"/>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食品质量与安全</w:t>
            </w:r>
          </w:p>
        </w:tc>
        <w:tc>
          <w:tcPr>
            <w:tcW w:w="2892" w:type="dxa"/>
          </w:tcPr>
          <w:p>
            <w:pPr>
              <w:spacing w:line="480" w:lineRule="exact"/>
              <w:jc w:val="center"/>
              <w:rPr>
                <w:rFonts w:hint="eastAsia" w:ascii="仿宋" w:hAnsi="仿宋" w:eastAsia="仿宋" w:cs="仿宋"/>
                <w:sz w:val="21"/>
                <w:szCs w:val="21"/>
              </w:rPr>
            </w:pPr>
            <w:r>
              <w:rPr>
                <w:rFonts w:hint="eastAsia" w:ascii="仿宋" w:hAnsi="仿宋" w:eastAsia="仿宋" w:cs="仿宋"/>
                <w:sz w:val="21"/>
                <w:szCs w:val="21"/>
              </w:rPr>
              <w:t>10</w:t>
            </w:r>
          </w:p>
        </w:tc>
        <w:tc>
          <w:tcPr>
            <w:tcW w:w="2854" w:type="dxa"/>
          </w:tcPr>
          <w:p>
            <w:pPr>
              <w:spacing w:line="480" w:lineRule="exact"/>
              <w:jc w:val="center"/>
              <w:rPr>
                <w:rFonts w:hint="eastAsia" w:ascii="仿宋" w:hAnsi="仿宋" w:eastAsia="仿宋" w:cs="仿宋"/>
                <w:sz w:val="21"/>
                <w:szCs w:val="21"/>
              </w:rPr>
            </w:pPr>
            <w:r>
              <w:rPr>
                <w:rFonts w:hint="eastAsia" w:ascii="仿宋" w:hAnsi="仿宋" w:eastAsia="仿宋" w:cs="仿宋"/>
                <w:sz w:val="21"/>
                <w:szCs w:val="21"/>
              </w:rPr>
              <w:t>13</w:t>
            </w:r>
          </w:p>
        </w:tc>
      </w:tr>
    </w:tbl>
    <w:p>
      <w:pPr>
        <w:pStyle w:val="3"/>
        <w:spacing w:beforeLines="20" w:afterLines="20" w:line="420" w:lineRule="exact"/>
        <w:rPr>
          <w:rFonts w:hint="eastAsia" w:ascii="楷体" w:hAnsi="楷体" w:eastAsia="楷体" w:cs="Times New Roman"/>
          <w:b/>
          <w:bCs w:val="0"/>
          <w:kern w:val="2"/>
          <w:sz w:val="32"/>
          <w:szCs w:val="32"/>
          <w:lang w:val="en-US" w:eastAsia="zh-CN" w:bidi="ar-SA"/>
        </w:rPr>
      </w:pPr>
      <w:bookmarkStart w:id="17" w:name="_Toc103005273"/>
      <w:bookmarkStart w:id="18" w:name="_Toc36540536"/>
      <w:r>
        <w:rPr>
          <w:rFonts w:hint="eastAsia" w:ascii="楷体" w:hAnsi="楷体" w:eastAsia="楷体" w:cs="Times New Roman"/>
          <w:b/>
          <w:bCs w:val="0"/>
          <w:kern w:val="2"/>
          <w:sz w:val="32"/>
          <w:szCs w:val="32"/>
          <w:lang w:val="en-US" w:eastAsia="zh-CN" w:bidi="ar-SA"/>
        </w:rPr>
        <w:t>3.4 毕业论文指导</w:t>
      </w:r>
      <w:bookmarkEnd w:id="17"/>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根据学校相关要求部署，依据教务处制定的《黑龙江工业学院本科毕业设计（论文）工作指导意见》，以及《关于做好2018级本科毕业设计（论文）工作时间安排的通知》有关精神，制定了《资源工程学院毕业设计（论文）实施方案》。食品质量与安全专业自2018年开始招收本科生，对于2018级毕业生的毕业设计指导，教研室做了详细部署。毕业论文的选题能结合经济建设、科技教育、社会发展需要。为保证质量，成立了毕业论文领导小组和毕业论文答辩委员会，设置了毕业设计的开题、中期检查、答辩等环节，建立比较完善的规章制度质量保障体系，开展院级毕业论文的质量监控与管理工作，加大检查监管力度，做好毕业论文工作过程监控，重点检查学生毕业论文进展情况以及教师指导情况，确保毕业论文工作有序推进。担任毕业论文指导工作的教师均具有中级及以上职称。</w:t>
      </w:r>
    </w:p>
    <w:p>
      <w:pPr>
        <w:widowControl/>
        <w:spacing w:line="480" w:lineRule="exact"/>
        <w:jc w:val="center"/>
        <w:textAlignment w:val="center"/>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表3-4  食品专业毕业论文指导</w:t>
      </w:r>
    </w:p>
    <w:tbl>
      <w:tblPr>
        <w:tblStyle w:val="13"/>
        <w:tblW w:w="7618" w:type="dxa"/>
        <w:jc w:val="center"/>
        <w:tblInd w:w="0" w:type="dxa"/>
        <w:tblLayout w:type="fixed"/>
        <w:tblCellMar>
          <w:top w:w="0" w:type="dxa"/>
          <w:left w:w="108" w:type="dxa"/>
          <w:bottom w:w="0" w:type="dxa"/>
          <w:right w:w="108" w:type="dxa"/>
        </w:tblCellMar>
      </w:tblPr>
      <w:tblGrid>
        <w:gridCol w:w="720"/>
        <w:gridCol w:w="1629"/>
        <w:gridCol w:w="1603"/>
        <w:gridCol w:w="1681"/>
        <w:gridCol w:w="992"/>
        <w:gridCol w:w="993"/>
      </w:tblGrid>
      <w:tr>
        <w:tblPrEx>
          <w:tblLayout w:type="fixed"/>
          <w:tblCellMar>
            <w:top w:w="0" w:type="dxa"/>
            <w:left w:w="108" w:type="dxa"/>
            <w:bottom w:w="0" w:type="dxa"/>
            <w:right w:w="108" w:type="dxa"/>
          </w:tblCellMar>
        </w:tblPrEx>
        <w:trPr>
          <w:trHeight w:val="33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序号</w:t>
            </w:r>
          </w:p>
        </w:tc>
        <w:tc>
          <w:tcPr>
            <w:tcW w:w="1629"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指导教师</w:t>
            </w:r>
          </w:p>
        </w:tc>
        <w:tc>
          <w:tcPr>
            <w:tcW w:w="1603" w:type="dxa"/>
            <w:tcBorders>
              <w:top w:val="single" w:color="auto" w:sz="4" w:space="0"/>
              <w:left w:val="nil"/>
              <w:bottom w:val="single" w:color="auto" w:sz="4" w:space="0"/>
              <w:right w:val="single" w:color="auto" w:sz="4" w:space="0"/>
            </w:tcBorders>
            <w:vAlign w:val="center"/>
          </w:tcPr>
          <w:p>
            <w:pPr>
              <w:spacing w:line="220" w:lineRule="exact"/>
              <w:jc w:val="center"/>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职称</w:t>
            </w:r>
          </w:p>
        </w:tc>
        <w:tc>
          <w:tcPr>
            <w:tcW w:w="1681" w:type="dxa"/>
            <w:tcBorders>
              <w:top w:val="single" w:color="auto" w:sz="4" w:space="0"/>
              <w:left w:val="nil"/>
              <w:bottom w:val="single" w:color="auto" w:sz="4" w:space="0"/>
              <w:right w:val="single" w:color="auto" w:sz="4" w:space="0"/>
            </w:tcBorders>
            <w:vAlign w:val="center"/>
          </w:tcPr>
          <w:p>
            <w:pPr>
              <w:spacing w:line="220" w:lineRule="exact"/>
              <w:jc w:val="center"/>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学历/学位</w:t>
            </w:r>
          </w:p>
        </w:tc>
        <w:tc>
          <w:tcPr>
            <w:tcW w:w="992" w:type="dxa"/>
            <w:tcBorders>
              <w:top w:val="single" w:color="auto" w:sz="4" w:space="0"/>
              <w:left w:val="nil"/>
              <w:bottom w:val="single" w:color="auto" w:sz="4" w:space="0"/>
              <w:right w:val="single" w:color="auto" w:sz="4" w:space="0"/>
            </w:tcBorders>
            <w:vAlign w:val="center"/>
          </w:tcPr>
          <w:p>
            <w:pPr>
              <w:spacing w:line="220" w:lineRule="exact"/>
              <w:jc w:val="center"/>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指导学生数</w:t>
            </w:r>
          </w:p>
        </w:tc>
        <w:tc>
          <w:tcPr>
            <w:tcW w:w="993" w:type="dxa"/>
            <w:tcBorders>
              <w:top w:val="single" w:color="auto" w:sz="4" w:space="0"/>
              <w:left w:val="nil"/>
              <w:bottom w:val="single" w:color="auto" w:sz="4" w:space="0"/>
              <w:right w:val="single" w:color="auto" w:sz="4" w:space="0"/>
            </w:tcBorders>
            <w:vAlign w:val="center"/>
          </w:tcPr>
          <w:p>
            <w:pPr>
              <w:spacing w:line="220" w:lineRule="exact"/>
              <w:jc w:val="center"/>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课题数</w:t>
            </w:r>
          </w:p>
        </w:tc>
      </w:tr>
      <w:tr>
        <w:tblPrEx>
          <w:tblLayout w:type="fixed"/>
          <w:tblCellMar>
            <w:top w:w="0" w:type="dxa"/>
            <w:left w:w="108" w:type="dxa"/>
            <w:bottom w:w="0" w:type="dxa"/>
            <w:right w:w="108" w:type="dxa"/>
          </w:tblCellMar>
        </w:tblPrEx>
        <w:trPr>
          <w:trHeight w:val="339" w:hRule="atLeast"/>
          <w:jc w:val="center"/>
        </w:trPr>
        <w:tc>
          <w:tcPr>
            <w:tcW w:w="720" w:type="dxa"/>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1</w:t>
            </w:r>
          </w:p>
        </w:tc>
        <w:tc>
          <w:tcPr>
            <w:tcW w:w="1629" w:type="dxa"/>
            <w:tcBorders>
              <w:top w:val="nil"/>
              <w:left w:val="single" w:color="auto" w:sz="4" w:space="0"/>
              <w:bottom w:val="single" w:color="auto" w:sz="4" w:space="0"/>
              <w:right w:val="single" w:color="auto" w:sz="4" w:space="0"/>
            </w:tcBorders>
            <w:vAlign w:val="center"/>
          </w:tcPr>
          <w:p>
            <w:pPr>
              <w:spacing w:line="26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王雅珍</w:t>
            </w:r>
          </w:p>
        </w:tc>
        <w:tc>
          <w:tcPr>
            <w:tcW w:w="1603"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教授</w:t>
            </w:r>
          </w:p>
        </w:tc>
        <w:tc>
          <w:tcPr>
            <w:tcW w:w="168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本科/硕士</w:t>
            </w:r>
          </w:p>
        </w:tc>
        <w:tc>
          <w:tcPr>
            <w:tcW w:w="992"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10</w:t>
            </w:r>
          </w:p>
        </w:tc>
        <w:tc>
          <w:tcPr>
            <w:tcW w:w="993"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10</w:t>
            </w:r>
          </w:p>
        </w:tc>
      </w:tr>
      <w:tr>
        <w:tblPrEx>
          <w:tblLayout w:type="fixed"/>
          <w:tblCellMar>
            <w:top w:w="0" w:type="dxa"/>
            <w:left w:w="108" w:type="dxa"/>
            <w:bottom w:w="0" w:type="dxa"/>
            <w:right w:w="108" w:type="dxa"/>
          </w:tblCellMar>
        </w:tblPrEx>
        <w:trPr>
          <w:trHeight w:val="339" w:hRule="atLeast"/>
          <w:jc w:val="center"/>
        </w:trPr>
        <w:tc>
          <w:tcPr>
            <w:tcW w:w="720" w:type="dxa"/>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1629" w:type="dxa"/>
            <w:tcBorders>
              <w:top w:val="nil"/>
              <w:left w:val="single" w:color="auto" w:sz="4" w:space="0"/>
              <w:bottom w:val="single" w:color="auto" w:sz="4" w:space="0"/>
              <w:right w:val="single" w:color="auto" w:sz="4" w:space="0"/>
            </w:tcBorders>
            <w:vAlign w:val="center"/>
          </w:tcPr>
          <w:p>
            <w:pPr>
              <w:spacing w:line="26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姜坤</w:t>
            </w:r>
          </w:p>
        </w:tc>
        <w:tc>
          <w:tcPr>
            <w:tcW w:w="1603"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副教授</w:t>
            </w:r>
          </w:p>
        </w:tc>
        <w:tc>
          <w:tcPr>
            <w:tcW w:w="168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本科</w:t>
            </w:r>
          </w:p>
        </w:tc>
        <w:tc>
          <w:tcPr>
            <w:tcW w:w="992"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4</w:t>
            </w:r>
          </w:p>
        </w:tc>
        <w:tc>
          <w:tcPr>
            <w:tcW w:w="993"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4</w:t>
            </w:r>
          </w:p>
        </w:tc>
      </w:tr>
      <w:tr>
        <w:tblPrEx>
          <w:tblLayout w:type="fixed"/>
          <w:tblCellMar>
            <w:top w:w="0" w:type="dxa"/>
            <w:left w:w="108" w:type="dxa"/>
            <w:bottom w:w="0" w:type="dxa"/>
            <w:right w:w="108" w:type="dxa"/>
          </w:tblCellMar>
        </w:tblPrEx>
        <w:trPr>
          <w:trHeight w:val="339" w:hRule="atLeast"/>
          <w:jc w:val="center"/>
        </w:trPr>
        <w:tc>
          <w:tcPr>
            <w:tcW w:w="720" w:type="dxa"/>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3</w:t>
            </w:r>
          </w:p>
        </w:tc>
        <w:tc>
          <w:tcPr>
            <w:tcW w:w="1629" w:type="dxa"/>
            <w:tcBorders>
              <w:top w:val="nil"/>
              <w:left w:val="single" w:color="auto" w:sz="4" w:space="0"/>
              <w:bottom w:val="single" w:color="auto" w:sz="4" w:space="0"/>
              <w:right w:val="single" w:color="auto" w:sz="4" w:space="0"/>
            </w:tcBorders>
            <w:vAlign w:val="center"/>
          </w:tcPr>
          <w:p>
            <w:pPr>
              <w:spacing w:line="26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陈兵</w:t>
            </w:r>
          </w:p>
        </w:tc>
        <w:tc>
          <w:tcPr>
            <w:tcW w:w="1603"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副教授</w:t>
            </w:r>
          </w:p>
        </w:tc>
        <w:tc>
          <w:tcPr>
            <w:tcW w:w="168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本科/硕士</w:t>
            </w:r>
          </w:p>
        </w:tc>
        <w:tc>
          <w:tcPr>
            <w:tcW w:w="992"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8</w:t>
            </w:r>
          </w:p>
        </w:tc>
        <w:tc>
          <w:tcPr>
            <w:tcW w:w="993"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8</w:t>
            </w:r>
          </w:p>
        </w:tc>
      </w:tr>
      <w:tr>
        <w:tblPrEx>
          <w:tblLayout w:type="fixed"/>
          <w:tblCellMar>
            <w:top w:w="0" w:type="dxa"/>
            <w:left w:w="108" w:type="dxa"/>
            <w:bottom w:w="0" w:type="dxa"/>
            <w:right w:w="108" w:type="dxa"/>
          </w:tblCellMar>
        </w:tblPrEx>
        <w:trPr>
          <w:trHeight w:val="339" w:hRule="atLeast"/>
          <w:jc w:val="center"/>
        </w:trPr>
        <w:tc>
          <w:tcPr>
            <w:tcW w:w="720" w:type="dxa"/>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4</w:t>
            </w:r>
          </w:p>
        </w:tc>
        <w:tc>
          <w:tcPr>
            <w:tcW w:w="1629" w:type="dxa"/>
            <w:tcBorders>
              <w:top w:val="nil"/>
              <w:left w:val="single" w:color="auto" w:sz="4" w:space="0"/>
              <w:bottom w:val="single" w:color="auto" w:sz="4" w:space="0"/>
              <w:right w:val="single" w:color="auto" w:sz="4" w:space="0"/>
            </w:tcBorders>
            <w:vAlign w:val="center"/>
          </w:tcPr>
          <w:p>
            <w:pPr>
              <w:spacing w:line="26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王艳梅</w:t>
            </w:r>
          </w:p>
        </w:tc>
        <w:tc>
          <w:tcPr>
            <w:tcW w:w="1603"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讲师</w:t>
            </w:r>
          </w:p>
        </w:tc>
        <w:tc>
          <w:tcPr>
            <w:tcW w:w="168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研究生/硕士</w:t>
            </w:r>
          </w:p>
        </w:tc>
        <w:tc>
          <w:tcPr>
            <w:tcW w:w="992"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4</w:t>
            </w:r>
          </w:p>
        </w:tc>
        <w:tc>
          <w:tcPr>
            <w:tcW w:w="993"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4</w:t>
            </w:r>
          </w:p>
        </w:tc>
      </w:tr>
      <w:tr>
        <w:tblPrEx>
          <w:tblLayout w:type="fixed"/>
          <w:tblCellMar>
            <w:top w:w="0" w:type="dxa"/>
            <w:left w:w="108" w:type="dxa"/>
            <w:bottom w:w="0" w:type="dxa"/>
            <w:right w:w="108" w:type="dxa"/>
          </w:tblCellMar>
        </w:tblPrEx>
        <w:trPr>
          <w:trHeight w:val="339" w:hRule="atLeast"/>
          <w:jc w:val="center"/>
        </w:trPr>
        <w:tc>
          <w:tcPr>
            <w:tcW w:w="720" w:type="dxa"/>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5</w:t>
            </w:r>
          </w:p>
        </w:tc>
        <w:tc>
          <w:tcPr>
            <w:tcW w:w="1629" w:type="dxa"/>
            <w:tcBorders>
              <w:top w:val="nil"/>
              <w:left w:val="single" w:color="auto" w:sz="4" w:space="0"/>
              <w:bottom w:val="single" w:color="auto" w:sz="4" w:space="0"/>
              <w:right w:val="single" w:color="auto" w:sz="4" w:space="0"/>
            </w:tcBorders>
            <w:vAlign w:val="center"/>
          </w:tcPr>
          <w:p>
            <w:pPr>
              <w:spacing w:line="26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汪宁</w:t>
            </w:r>
          </w:p>
        </w:tc>
        <w:tc>
          <w:tcPr>
            <w:tcW w:w="1603"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讲师</w:t>
            </w:r>
          </w:p>
        </w:tc>
        <w:tc>
          <w:tcPr>
            <w:tcW w:w="168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研究生/硕士</w:t>
            </w:r>
          </w:p>
        </w:tc>
        <w:tc>
          <w:tcPr>
            <w:tcW w:w="992"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4</w:t>
            </w:r>
          </w:p>
        </w:tc>
        <w:tc>
          <w:tcPr>
            <w:tcW w:w="993"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4</w:t>
            </w:r>
          </w:p>
        </w:tc>
      </w:tr>
      <w:tr>
        <w:tblPrEx>
          <w:tblLayout w:type="fixed"/>
          <w:tblCellMar>
            <w:top w:w="0" w:type="dxa"/>
            <w:left w:w="108" w:type="dxa"/>
            <w:bottom w:w="0" w:type="dxa"/>
            <w:right w:w="108" w:type="dxa"/>
          </w:tblCellMar>
        </w:tblPrEx>
        <w:trPr>
          <w:trHeight w:val="339" w:hRule="atLeast"/>
          <w:jc w:val="center"/>
        </w:trPr>
        <w:tc>
          <w:tcPr>
            <w:tcW w:w="720" w:type="dxa"/>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6</w:t>
            </w:r>
          </w:p>
        </w:tc>
        <w:tc>
          <w:tcPr>
            <w:tcW w:w="1629" w:type="dxa"/>
            <w:tcBorders>
              <w:top w:val="nil"/>
              <w:left w:val="single" w:color="auto" w:sz="4" w:space="0"/>
              <w:bottom w:val="single" w:color="auto" w:sz="4" w:space="0"/>
              <w:right w:val="single" w:color="auto" w:sz="4" w:space="0"/>
            </w:tcBorders>
            <w:vAlign w:val="center"/>
          </w:tcPr>
          <w:p>
            <w:pPr>
              <w:spacing w:line="26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李彩侠</w:t>
            </w:r>
          </w:p>
        </w:tc>
        <w:tc>
          <w:tcPr>
            <w:tcW w:w="1603"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讲师</w:t>
            </w:r>
          </w:p>
        </w:tc>
        <w:tc>
          <w:tcPr>
            <w:tcW w:w="168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研究生/硕士</w:t>
            </w:r>
          </w:p>
        </w:tc>
        <w:tc>
          <w:tcPr>
            <w:tcW w:w="992"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4</w:t>
            </w:r>
          </w:p>
        </w:tc>
        <w:tc>
          <w:tcPr>
            <w:tcW w:w="993"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4</w:t>
            </w:r>
          </w:p>
        </w:tc>
      </w:tr>
      <w:tr>
        <w:tblPrEx>
          <w:tblLayout w:type="fixed"/>
          <w:tblCellMar>
            <w:top w:w="0" w:type="dxa"/>
            <w:left w:w="108" w:type="dxa"/>
            <w:bottom w:w="0" w:type="dxa"/>
            <w:right w:w="108" w:type="dxa"/>
          </w:tblCellMar>
        </w:tblPrEx>
        <w:trPr>
          <w:trHeight w:val="339" w:hRule="atLeast"/>
          <w:jc w:val="center"/>
        </w:trPr>
        <w:tc>
          <w:tcPr>
            <w:tcW w:w="720" w:type="dxa"/>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7</w:t>
            </w:r>
          </w:p>
        </w:tc>
        <w:tc>
          <w:tcPr>
            <w:tcW w:w="1629" w:type="dxa"/>
            <w:tcBorders>
              <w:top w:val="nil"/>
              <w:left w:val="single" w:color="auto" w:sz="4" w:space="0"/>
              <w:bottom w:val="single" w:color="auto" w:sz="4" w:space="0"/>
              <w:right w:val="single" w:color="auto" w:sz="4" w:space="0"/>
            </w:tcBorders>
            <w:vAlign w:val="center"/>
          </w:tcPr>
          <w:p>
            <w:pPr>
              <w:spacing w:line="26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秦玉珠</w:t>
            </w:r>
          </w:p>
        </w:tc>
        <w:tc>
          <w:tcPr>
            <w:tcW w:w="1603"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讲师</w:t>
            </w:r>
          </w:p>
        </w:tc>
        <w:tc>
          <w:tcPr>
            <w:tcW w:w="168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研究生/硕士</w:t>
            </w:r>
          </w:p>
        </w:tc>
        <w:tc>
          <w:tcPr>
            <w:tcW w:w="992"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4</w:t>
            </w:r>
          </w:p>
        </w:tc>
        <w:tc>
          <w:tcPr>
            <w:tcW w:w="993"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4</w:t>
            </w:r>
          </w:p>
        </w:tc>
      </w:tr>
      <w:tr>
        <w:tblPrEx>
          <w:tblLayout w:type="fixed"/>
          <w:tblCellMar>
            <w:top w:w="0" w:type="dxa"/>
            <w:left w:w="108" w:type="dxa"/>
            <w:bottom w:w="0" w:type="dxa"/>
            <w:right w:w="108" w:type="dxa"/>
          </w:tblCellMar>
        </w:tblPrEx>
        <w:trPr>
          <w:trHeight w:val="339" w:hRule="atLeast"/>
          <w:jc w:val="center"/>
        </w:trPr>
        <w:tc>
          <w:tcPr>
            <w:tcW w:w="720" w:type="dxa"/>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8</w:t>
            </w:r>
          </w:p>
        </w:tc>
        <w:tc>
          <w:tcPr>
            <w:tcW w:w="1629" w:type="dxa"/>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马宇亮</w:t>
            </w:r>
          </w:p>
        </w:tc>
        <w:tc>
          <w:tcPr>
            <w:tcW w:w="1603"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讲师</w:t>
            </w:r>
          </w:p>
        </w:tc>
        <w:tc>
          <w:tcPr>
            <w:tcW w:w="168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研究生/硕士</w:t>
            </w:r>
          </w:p>
        </w:tc>
        <w:tc>
          <w:tcPr>
            <w:tcW w:w="992"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6</w:t>
            </w:r>
          </w:p>
        </w:tc>
        <w:tc>
          <w:tcPr>
            <w:tcW w:w="993"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6</w:t>
            </w:r>
          </w:p>
        </w:tc>
      </w:tr>
      <w:tr>
        <w:tblPrEx>
          <w:tblLayout w:type="fixed"/>
          <w:tblCellMar>
            <w:top w:w="0" w:type="dxa"/>
            <w:left w:w="108" w:type="dxa"/>
            <w:bottom w:w="0" w:type="dxa"/>
            <w:right w:w="108" w:type="dxa"/>
          </w:tblCellMar>
        </w:tblPrEx>
        <w:trPr>
          <w:trHeight w:val="339" w:hRule="atLeast"/>
          <w:jc w:val="center"/>
        </w:trPr>
        <w:tc>
          <w:tcPr>
            <w:tcW w:w="720" w:type="dxa"/>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9</w:t>
            </w:r>
          </w:p>
        </w:tc>
        <w:tc>
          <w:tcPr>
            <w:tcW w:w="1629" w:type="dxa"/>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color w:val="000000"/>
                <w:sz w:val="21"/>
                <w:szCs w:val="21"/>
              </w:rPr>
              <w:t>杜喜胜</w:t>
            </w:r>
          </w:p>
        </w:tc>
        <w:tc>
          <w:tcPr>
            <w:tcW w:w="1603"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高级工程师</w:t>
            </w:r>
          </w:p>
        </w:tc>
        <w:tc>
          <w:tcPr>
            <w:tcW w:w="168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本科</w:t>
            </w:r>
          </w:p>
        </w:tc>
        <w:tc>
          <w:tcPr>
            <w:tcW w:w="992"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993"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r>
    </w:tbl>
    <w:p>
      <w:pPr>
        <w:pStyle w:val="3"/>
        <w:spacing w:beforeLines="20" w:afterLines="20" w:line="420" w:lineRule="exact"/>
        <w:rPr>
          <w:rFonts w:hint="eastAsia" w:ascii="楷体" w:hAnsi="楷体" w:eastAsia="楷体" w:cs="Times New Roman"/>
          <w:b/>
          <w:bCs w:val="0"/>
          <w:kern w:val="2"/>
          <w:sz w:val="32"/>
          <w:szCs w:val="32"/>
          <w:lang w:val="en-US" w:eastAsia="zh-CN" w:bidi="ar-SA"/>
        </w:rPr>
      </w:pPr>
      <w:bookmarkStart w:id="19" w:name="_Toc36540544"/>
      <w:bookmarkStart w:id="20" w:name="_Toc103005274"/>
      <w:r>
        <w:rPr>
          <w:rFonts w:hint="eastAsia" w:ascii="楷体" w:hAnsi="楷体" w:eastAsia="楷体" w:cs="Times New Roman"/>
          <w:b/>
          <w:bCs w:val="0"/>
          <w:kern w:val="2"/>
          <w:sz w:val="32"/>
          <w:szCs w:val="32"/>
          <w:lang w:val="en-US" w:eastAsia="zh-CN" w:bidi="ar-SA"/>
        </w:rPr>
        <w:t>3.5 教学改革</w:t>
      </w:r>
      <w:bookmarkEnd w:id="19"/>
      <w:bookmarkEnd w:id="20"/>
    </w:p>
    <w:p>
      <w:pPr>
        <w:spacing w:before="0" w:beforeAutospacing="0" w:after="0" w:afterAutospacing="0"/>
        <w:rPr>
          <w:rFonts w:hint="eastAsia" w:ascii="仿宋" w:hAnsi="仿宋" w:eastAsia="仿宋"/>
          <w:b/>
          <w:bCs/>
          <w:sz w:val="32"/>
          <w:szCs w:val="32"/>
          <w:lang w:val="zh-CN"/>
        </w:rPr>
      </w:pPr>
      <w:bookmarkStart w:id="21" w:name="_Toc36540545"/>
      <w:r>
        <w:rPr>
          <w:rFonts w:hint="eastAsia" w:ascii="仿宋" w:hAnsi="仿宋" w:eastAsia="仿宋"/>
          <w:b/>
          <w:bCs/>
          <w:sz w:val="32"/>
          <w:szCs w:val="32"/>
          <w:lang w:val="zh-CN"/>
        </w:rPr>
        <w:t>3.5.1 教学改革的总体思路及政策措施</w:t>
      </w:r>
      <w:bookmarkEnd w:id="21"/>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教学改革的实施不仅有利于保证高等教育优先发展的地位，还有利于高等教育教学的内涵发展。坚持以教学工作为中心的人才培养模式改革是教学改革的核心内容，是实现人才培养模式改革的关键环节，食品专业积极营造有利于教学改革的教学环境，制定规章制度及激励机制等。</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依据专业定位和人才培养目标，以提高人才培养质量为根本，以提高教育教学质量为核心，以更新教育观念为先导，以人才培养模式改革为重点，以优化课程体系和更新教学内容为切入点。通过跟踪国内外教学研究发展趋势探索教学改革思路，通过调整专业结构，完善培养方案，创新教学模式，改革教学方法，强化实践教学，通过建立健全教学质量监控长效机制和评价体系，强化教学管理，推动教育教学整体水平的提高。</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近四年，承担了《食品分析在线开放课程的应用和探究》、《Aspen Plus 化工模拟软件在《食品分离技术》课程的应用和探究》、《慕课资源在工科类专业《现代企业管理》课程中的应用探索》、《“问题驱动”的本科创新型人才培养模式研究》、《应用型本科院校《食品标准与法规》课程教学改革的研究》、《《食品工程原理》课程线上线下混合教学模式的探索》、《“课程思政”融入《环境保护概论》课程教学的研究》、《地方高校应用型本科人才培养模式研究-以黑龙江工业学院为例》等8项改革研究项目，这些项目为进行教学改革奠定了理论基础。坚持“以教学为中心、以学生为主体、以专业建设为龙头、以师资队伍建设为重点、增强教师的服务意识、促进学生素质全面提高”的科学办学理念，深化本科教育教学改革，加强教学基本建设，加大教学投入，强化教学管理，强化专业建设，创新人才培养模式，全面提高人才培养质量。</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围绕教学改革总体思路，加强教学工作各项政策和措施的制定，认真落实教学督导和党政领导听课制度，院领导深入教学一线，调查研究、督促指导，切实加强对教学工作的指导。通过教学观摩、讲课比赛及对外交流等，强化教师队伍潜心研究教学，积极开展课堂教学改革，努力提高教学水平。</w:t>
      </w:r>
    </w:p>
    <w:p>
      <w:pPr>
        <w:spacing w:before="0" w:beforeAutospacing="0" w:after="0" w:afterAutospacing="0"/>
        <w:rPr>
          <w:rFonts w:hint="eastAsia" w:ascii="仿宋" w:hAnsi="仿宋" w:eastAsia="仿宋"/>
          <w:b/>
          <w:bCs/>
          <w:sz w:val="32"/>
          <w:szCs w:val="32"/>
          <w:lang w:val="zh-CN"/>
        </w:rPr>
      </w:pPr>
      <w:bookmarkStart w:id="22" w:name="_Toc36540546"/>
      <w:bookmarkStart w:id="23" w:name="_Toc21138"/>
      <w:r>
        <w:rPr>
          <w:rFonts w:hint="eastAsia" w:ascii="仿宋" w:hAnsi="仿宋" w:eastAsia="仿宋"/>
          <w:b/>
          <w:bCs/>
          <w:sz w:val="32"/>
          <w:szCs w:val="32"/>
          <w:lang w:val="zh-CN"/>
        </w:rPr>
        <w:t>3.5.2 人才培养模式改革，人才培养体制、机制改革</w:t>
      </w:r>
      <w:bookmarkEnd w:id="22"/>
      <w:bookmarkEnd w:id="23"/>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更新教育观念，探索人才培养新模式。以学科竞赛依托，以实践环节设置为载体，不断加强本科生实践创新能力的培养。进一步探索校企合作培养模式，建立校校、校企联合培养人才的机制。夯实专业主干课程理论基础，积极探索培养专业创新能力的新方法，倡导教学改革，探索动式教学，为人才培养奠定良好的知识和技能基础。</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近年来黑龙江工业学院将人才培养模式改革思路定位于：以服务地方经济发展为目标，以创新精神和实践能力培养为核心，坚持走产学研结合之路，着重从学科建设和专业建设，课程体系，教学方式等方面进行改革与创新，构建知识能力素质有机融合的多层次个性化本科人才培养模式。</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（1）修订本科人才培养方案</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在本科人才培养方案的修订中，注重夯实理论基础，提升科研创新能力，培养通过对教学大纲的审核，调整了主干基础课程的讲授内容，教学内容，得到了更新。以培养目标为导向制定人才培养方案，根据人才培养定位和目标修订了人才培养方案，使学生系统掌握专业机本理论基本知识和专业技能，并具备从事专业工作的实践和创新能力。</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构建结构合理，注重实践的课程教学体系，体现应用型人才培养，要求将理论教学和实践教学有机整合，将人才培养方案中课程设置分为5大模块，公共基础课，专业基础课，专业必修课选修课和实践教学环节，实践实验教学环节分占到总学分的25%以上，实践教学比例得到加强。</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（2）德育工作贯穿始终</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德育工作纳入教育教学的各个环节贯穿于课堂教学与社会实践，实现了德育教育的全程化和协同化。</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充分发挥思想政治理论课的主渠道作用，加强马克思主义中国化最新成果教育，引导学生形成正确的世界观、人生观、价值观；充分利用、挖掘专业课的思想道德教育内容，培养学生良好的职业道德；开展丰富多彩的社会实践活动。目前，已经形成学风建设月、文艺展演活动月、毕业纪念活动月、入学教育活动月等各大主题活动月体系。</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（3）制定政策，激励教学改革</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学校以政策为导向，并实施了多项教学改革激励措施，开展教学名师、优秀主讲教师评选等活动，为教师开展教学改革树立了榜样，对取得教改成果的教师在职称评聘、评优评先等方面给予倾斜和奖励。</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（4）投入经费，保障教学改革</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学校建立并完善了教学改革经费保障机制，每年在财务预算中设立教改专项经费，用于年度重大教学改革项目设立质量工程，教学改革项目，专项建设经费，同时对于校级教研课题规划、教材教学技术、实验技术课题、实验室开放、大学生创新创业训练等教学改革项目也设置了专项经费。</w:t>
      </w:r>
    </w:p>
    <w:p>
      <w:pPr>
        <w:pStyle w:val="2"/>
        <w:spacing w:beforeLines="20" w:afterLines="20" w:line="420" w:lineRule="exact"/>
        <w:rPr>
          <w:rFonts w:hint="eastAsia" w:ascii="黑体" w:hAnsi="黑体" w:eastAsia="黑体" w:cs="Times New Roman"/>
          <w:b/>
          <w:bCs w:val="0"/>
          <w:kern w:val="2"/>
          <w:sz w:val="32"/>
          <w:szCs w:val="32"/>
          <w:lang w:val="en-US" w:eastAsia="zh-CN" w:bidi="ar-SA"/>
        </w:rPr>
      </w:pPr>
      <w:bookmarkStart w:id="24" w:name="_Toc103005275"/>
      <w:r>
        <w:rPr>
          <w:rFonts w:hint="eastAsia" w:ascii="黑体" w:hAnsi="黑体" w:eastAsia="黑体" w:cs="Times New Roman"/>
          <w:b/>
          <w:bCs w:val="0"/>
          <w:kern w:val="2"/>
          <w:sz w:val="32"/>
          <w:szCs w:val="32"/>
          <w:lang w:val="en-US" w:eastAsia="zh-CN" w:bidi="ar-SA"/>
        </w:rPr>
        <w:t>4 教学条件</w:t>
      </w:r>
      <w:bookmarkEnd w:id="24"/>
    </w:p>
    <w:p>
      <w:pPr>
        <w:pStyle w:val="3"/>
        <w:spacing w:beforeLines="20" w:afterLines="20" w:line="420" w:lineRule="exact"/>
        <w:rPr>
          <w:rFonts w:hint="eastAsia" w:ascii="楷体" w:hAnsi="楷体" w:eastAsia="楷体" w:cs="Times New Roman"/>
          <w:b/>
          <w:bCs w:val="0"/>
          <w:kern w:val="2"/>
          <w:sz w:val="32"/>
          <w:szCs w:val="32"/>
          <w:lang w:val="en-US" w:eastAsia="zh-CN" w:bidi="ar-SA"/>
        </w:rPr>
      </w:pPr>
      <w:bookmarkStart w:id="25" w:name="_Toc103005276"/>
      <w:r>
        <w:rPr>
          <w:rFonts w:hint="eastAsia" w:ascii="楷体" w:hAnsi="楷体" w:eastAsia="楷体" w:cs="Times New Roman"/>
          <w:b/>
          <w:bCs w:val="0"/>
          <w:kern w:val="2"/>
          <w:sz w:val="32"/>
          <w:szCs w:val="32"/>
          <w:lang w:val="en-US" w:eastAsia="zh-CN" w:bidi="ar-SA"/>
        </w:rPr>
        <w:t>4.1 仪器设备</w:t>
      </w:r>
      <w:bookmarkEnd w:id="25"/>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食品质量与安全专业拥有化学实验室、生物实验室、食品检验实验室、食品发酵实验室、食品分析及食品开发实验室等多个实验室，实践教学条件逐年明显改善。在学校的政策支持下，充分利用中央支持地方和省高教强省专项资金，加强了食品专业实验室、实训室的建设，实验室总面积约500平方米。拥有高效液相色谱仪、原子吸收光谱仪、红外光谱仪、紫外光分光光度计、超纯水仪、超低温冰箱、旋转蒸发仪、生化培养箱等各类仪器设备100余台，总价值450余万元。实验室条件能满足本专业学生教学需要，实验课开出率为100%。</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专业实验室由实验员负责管理，对优秀本科生和学有专长的学生开放，自主设计研发。鼓励学生申报大学生创新性实验计划项目，参加各级各类大赛如化工竞赛，生命科学大赛等，积极开展课外科技创新文化活动，通过创新能力培训和指导，提升大学生的创新能力。</w:t>
      </w:r>
    </w:p>
    <w:p>
      <w:pPr>
        <w:pStyle w:val="3"/>
        <w:spacing w:beforeLines="20" w:afterLines="20" w:line="420" w:lineRule="exact"/>
        <w:rPr>
          <w:rFonts w:hint="eastAsia" w:ascii="楷体" w:hAnsi="楷体" w:eastAsia="楷体" w:cs="Times New Roman"/>
          <w:b/>
          <w:bCs w:val="0"/>
          <w:kern w:val="2"/>
          <w:sz w:val="32"/>
          <w:szCs w:val="32"/>
          <w:lang w:val="en-US" w:eastAsia="zh-CN" w:bidi="ar-SA"/>
        </w:rPr>
      </w:pPr>
      <w:bookmarkStart w:id="26" w:name="_Toc103005277"/>
      <w:r>
        <w:rPr>
          <w:rFonts w:hint="eastAsia" w:ascii="楷体" w:hAnsi="楷体" w:eastAsia="楷体" w:cs="Times New Roman"/>
          <w:b/>
          <w:bCs w:val="0"/>
          <w:kern w:val="2"/>
          <w:sz w:val="32"/>
          <w:szCs w:val="32"/>
          <w:lang w:val="en-US" w:eastAsia="zh-CN" w:bidi="ar-SA"/>
        </w:rPr>
        <w:t>4.2 图书资料</w:t>
      </w:r>
      <w:bookmarkEnd w:id="26"/>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食品专业全部选用国家统编、有重大影响的实用性强的教材，包括国家规划教材、教育部推荐的教材等。目前本专业教师参与编写教材6部。食品质量与安全专业现有图书2万余册，电子图书1万余册。可供学生在专业方面进行查阅和学习。</w:t>
      </w:r>
    </w:p>
    <w:p>
      <w:pPr>
        <w:pStyle w:val="3"/>
        <w:spacing w:beforeLines="20" w:afterLines="20" w:line="420" w:lineRule="exact"/>
        <w:rPr>
          <w:rFonts w:hint="eastAsia" w:ascii="楷体" w:hAnsi="楷体" w:eastAsia="楷体" w:cs="Times New Roman"/>
          <w:b/>
          <w:bCs w:val="0"/>
          <w:kern w:val="2"/>
          <w:sz w:val="32"/>
          <w:szCs w:val="32"/>
          <w:lang w:val="en-US" w:eastAsia="zh-CN" w:bidi="ar-SA"/>
        </w:rPr>
      </w:pPr>
      <w:bookmarkStart w:id="27" w:name="_Toc103005278"/>
      <w:r>
        <w:rPr>
          <w:rFonts w:hint="eastAsia" w:ascii="楷体" w:hAnsi="楷体" w:eastAsia="楷体" w:cs="Times New Roman"/>
          <w:b/>
          <w:bCs w:val="0"/>
          <w:kern w:val="2"/>
          <w:sz w:val="32"/>
          <w:szCs w:val="32"/>
          <w:lang w:val="en-US" w:eastAsia="zh-CN" w:bidi="ar-SA"/>
        </w:rPr>
        <w:t>4.3 培养实践能力的条件和基地</w:t>
      </w:r>
      <w:bookmarkEnd w:id="27"/>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食品专业校内外的实验实训条件优越，校内实训基地具备教学、培训、技能鉴定、生产及技术服务五位一体的功能。现有可以使用的实验室包括：生物实验室、食品发酵实验室、食品检验实验室、食品分析及食品开发实验室。实验室能够开设《食品化学》、《食品生物化学》、《食品分析与检验》、《食品营养与卫生》、《食品毒理》、《食品微生物检验》等课程的相关实验、设计和实训项目，属于综合性开放型实验室。目前所有实验室均定期对学生进行开放，并按排相应指导老师及高年级学生助教对学生进行相应指导。整体实践教学分为基本技能训练、专业素养训练和综合能力训练的三个层次，在实践教学过程中兼顾课内实践教学与理论教学的有机结合，强化了学生的基本技能训练、专业素养训练、综合能力训练，通过课外实践活动与课内实践教学有机结合，实现素质拓展和创新能力的初步形成。构建了以实验课程为基础，以课程设计、实习实训、毕业设计等教学为核心，以学科竞赛、大学生创新创业训练计划项目等课外创新活动为补充的多环节的实践教学体系，将实践教学四年不间断地贯穿于整个教育全过程。</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食品专业共有双师教师11名，占教师总数57.89%，其中4名教师具有企业工作经历且具有丰富生产实践经验，其余教师均定期参加企业挂职锻炼，不断积累实践经验，动手能力强。在实践性教学中,注意充分发挥专业教师的特长和实验设备,为学生创造实践条件，突出动手操作，加强技能训练，注重能力培养。团队在2020年 建行杯黑龙江省“互联网+”大学生创新创业大赛和挑战杯黑龙江省大学生创业计划竞赛上荣获银奖和铜奖。</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通过产学合作，在企事业各界的大力支持下，现与黑龙江甄原坊乳品有限公司、鸡西市龙九味中草药有限公司、北京市好利来食品有限公司，黑龙江珍宝岛股份有限公司、呼伦贝尔东北阜丰生物科技有限公司、黑龙江省富坤粮食加工有限公司等多家企事业单位建立了校企合作人才培养基地。通过学生生产实习、毕业实习、顶岗实习、校企合作、商讨座谈等形式，加强学校与企业的沟通，学校依据企业对人才的需求，可侧重对部分学生因材施教，可开展讲座、选修、课外辅导等形式重点讲授相关课程，从而满足不同企业对人才的不同需要。这些企业尽量满足学校实训基地的效能，为学生提供适当的生产场所，并多为学校提供有丰富经验的技术人员作为专业兼职教师。这些企业欢迎刚走出大学校门的青年教师，多到企业参加专业实践和技术服务等，逐渐形成了实验室、实习工厂、校外实训基地三位一体的实践训练体系，为学生专业技能训练创造了良好的条件。</w:t>
      </w:r>
    </w:p>
    <w:p>
      <w:pPr>
        <w:pStyle w:val="3"/>
        <w:spacing w:beforeLines="20" w:afterLines="20" w:line="420" w:lineRule="exact"/>
        <w:rPr>
          <w:rFonts w:hint="eastAsia" w:ascii="楷体" w:hAnsi="楷体" w:eastAsia="楷体" w:cs="Times New Roman"/>
          <w:b/>
          <w:bCs w:val="0"/>
          <w:kern w:val="2"/>
          <w:sz w:val="32"/>
          <w:szCs w:val="32"/>
          <w:lang w:val="en-US" w:eastAsia="zh-CN" w:bidi="ar-SA"/>
        </w:rPr>
      </w:pPr>
      <w:bookmarkStart w:id="28" w:name="_Toc103005279"/>
      <w:r>
        <w:rPr>
          <w:rFonts w:hint="eastAsia" w:ascii="楷体" w:hAnsi="楷体" w:eastAsia="楷体" w:cs="Times New Roman"/>
          <w:b/>
          <w:bCs w:val="0"/>
          <w:kern w:val="2"/>
          <w:sz w:val="32"/>
          <w:szCs w:val="32"/>
          <w:lang w:val="en-US" w:eastAsia="zh-CN" w:bidi="ar-SA"/>
        </w:rPr>
        <w:t>4.4 教学经费投入</w:t>
      </w:r>
      <w:bookmarkEnd w:id="28"/>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学校为食品质量与安全专业投入了一定的实验经费以保证教学需要，自2018年以来，本专业教学经费共投入约为120多万元。这些经费主要用于专业建设、课程建设、师资培养、学生参加校外实习的经费等。学校建设的实验室占地面积达500多平米，设备总价值为450多万元，可以满足食品质量与安全专业学生的实践要求。学校制定了科研奖励办法，加大科研成果奖励力度，鼓励教师争取更多的纵向和横向课题，并给予一定的配套费或奖励。教师外出学习培训、实践基地建设，就业基地考察等经费投入共计12万元。</w:t>
      </w:r>
    </w:p>
    <w:p>
      <w:pPr>
        <w:pStyle w:val="2"/>
        <w:spacing w:beforeLines="20" w:afterLines="20" w:line="420" w:lineRule="exact"/>
        <w:rPr>
          <w:rFonts w:hint="eastAsia" w:ascii="黑体" w:hAnsi="黑体" w:eastAsia="黑体" w:cs="Times New Roman"/>
          <w:b/>
          <w:bCs w:val="0"/>
          <w:kern w:val="2"/>
          <w:sz w:val="32"/>
          <w:szCs w:val="32"/>
          <w:lang w:val="en-US" w:eastAsia="zh-CN" w:bidi="ar-SA"/>
        </w:rPr>
      </w:pPr>
      <w:bookmarkStart w:id="29" w:name="_Toc103005280"/>
      <w:r>
        <w:rPr>
          <w:rFonts w:hint="eastAsia" w:ascii="黑体" w:hAnsi="黑体" w:eastAsia="黑体" w:cs="Times New Roman"/>
          <w:b/>
          <w:bCs w:val="0"/>
          <w:kern w:val="2"/>
          <w:sz w:val="32"/>
          <w:szCs w:val="32"/>
          <w:lang w:val="en-US" w:eastAsia="zh-CN" w:bidi="ar-SA"/>
        </w:rPr>
        <w:t>5 应届毕业生情况</w:t>
      </w:r>
      <w:bookmarkEnd w:id="29"/>
    </w:p>
    <w:p>
      <w:pPr>
        <w:pStyle w:val="3"/>
        <w:spacing w:beforeLines="20" w:afterLines="20" w:line="420" w:lineRule="exact"/>
        <w:rPr>
          <w:rFonts w:hint="eastAsia" w:ascii="楷体" w:hAnsi="楷体" w:eastAsia="楷体" w:cs="Times New Roman"/>
          <w:b/>
          <w:bCs w:val="0"/>
          <w:kern w:val="2"/>
          <w:sz w:val="32"/>
          <w:szCs w:val="32"/>
          <w:lang w:val="en-US" w:eastAsia="zh-CN" w:bidi="ar-SA"/>
        </w:rPr>
      </w:pPr>
      <w:bookmarkStart w:id="30" w:name="_Toc103005281"/>
      <w:r>
        <w:rPr>
          <w:rFonts w:hint="eastAsia" w:ascii="楷体" w:hAnsi="楷体" w:eastAsia="楷体" w:cs="Times New Roman"/>
          <w:b/>
          <w:bCs w:val="0"/>
          <w:kern w:val="2"/>
          <w:sz w:val="32"/>
          <w:szCs w:val="32"/>
          <w:lang w:val="en-US" w:eastAsia="zh-CN" w:bidi="ar-SA"/>
        </w:rPr>
        <w:t>5.1基本理论与基本技能</w:t>
      </w:r>
      <w:bookmarkEnd w:id="30"/>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学院始终以学风建设为主线，坚持“德育为本、学风为主、务实创新”的原则，倡导“全员育人、师生互动”的学风建设理念，建立辅导员和授课教师联动机制，辅导员会不定期抽查日常课堂出勤并及时从任课老师处获得反馈，尽早摸排出“学困生”，从管理上严格把关，提高学生学习的整体风气，几年来学生上课到课率98%，课堂纪律良好，上课迟到和早退现象逐年改善。</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严格执行《黑龙江工业学院学生学业预警制度》，建立学校和家长的联动机制，及时向学业有问题的同学下发学业预警通知单，为学生学习提供必要压力，建立专业长期有效的学业援助制度，对学业存在问题的不断学生进行帮助，有效提高学生学习成绩。经过四年的本科专业学习，学生的实际知识、能力与素质结构符合培养目标的要求，基本理论与基本技能合格。食品专业学生能够遵照教学大纲和教学计划的要求与安排完成课程学习任务，能够独立完成毕业设计的相关工作任务。</w:t>
      </w:r>
    </w:p>
    <w:p>
      <w:pPr>
        <w:pStyle w:val="3"/>
        <w:spacing w:beforeLines="20" w:afterLines="20" w:line="420" w:lineRule="exact"/>
        <w:rPr>
          <w:rFonts w:hint="eastAsia" w:ascii="楷体" w:hAnsi="楷体" w:eastAsia="楷体" w:cs="Times New Roman"/>
          <w:b/>
          <w:bCs w:val="0"/>
          <w:kern w:val="2"/>
          <w:sz w:val="32"/>
          <w:szCs w:val="32"/>
          <w:lang w:val="en-US" w:eastAsia="zh-CN" w:bidi="ar-SA"/>
        </w:rPr>
      </w:pPr>
      <w:bookmarkStart w:id="31" w:name="_Toc103005282"/>
      <w:r>
        <w:rPr>
          <w:rFonts w:hint="eastAsia" w:ascii="楷体" w:hAnsi="楷体" w:eastAsia="楷体" w:cs="Times New Roman"/>
          <w:b/>
          <w:bCs w:val="0"/>
          <w:kern w:val="2"/>
          <w:sz w:val="32"/>
          <w:szCs w:val="32"/>
          <w:lang w:val="en-US" w:eastAsia="zh-CN" w:bidi="ar-SA"/>
        </w:rPr>
        <w:t>5.2 实习、社会实践、毕业论文</w:t>
      </w:r>
      <w:bookmarkEnd w:id="31"/>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食品专业按照黑龙江工业学院实习工作相关要求和实习基地建设与管理办法等规章制度，重视实习实训环节的教学质量。在制定人才培养方案时，按照基本技能、专业素养和综合能力训练，合理安排专业基础技能训练、生产实习和社会实践等实践教学环节，根据专业特点和社会技术需求的不断发展和变化，及时更新实习实训内容，修订实习教学大纲，保证实习实训的内容、时间和进度安排满足学生技能与能力培养训练的需要，严格按照教学计划与大纲的要求完成实习和社会实践任务。</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（1）专业实习</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专业实习是培养学生综合运用理论知识解决实际问题的基本能力训练，食品专业在第四学期后陆续安排了不少于4周的专业实习，通常在大三时要求学生进入相关实习基地进行顶岗实习。通过专业实习，将所学的专业基础知识更好地与生产实践相结合，能够将所学得知识融会贯通，从而做到如何应用所学的知识，更科学更合理地解决生产实际问题的能力，并为后期的专毕业设计奠定基础及设计思路和设计方法。</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（2）社会实践</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为提高学生的分析问题和解决问题的能力，帮助学生认识社会了解食品行业，食品专业在四年本科教学过程中安排了三次专业社会实践任务，分别在每学年的寒暑假运行。通过社会实践，使学生对所学的专业知识加以补充和完善。同时可以了解和接触专业前沿性内容，使知识体系在广度和深度得以深化。</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（3）毕业设计</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毕业设计是人才培养方案中最后一个重要的教学环节，做好学生的毕业设计（论文）工作，对全面提高教学质量具有重要的意义。</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食品专业为保证毕业班学生及时、顺利选题，遴选讲师以上职称教师作为指导教师，均保质保量的提供足够数量的待选题目，以便学生根据自身情况有适当的选择范围。同时组织毕业生集中选题，确保一生一题，选题结合生产实际、科学研究，结合经济建设、科技教育、社会发展需要，提倡“真题真做”，保证毕业设计（论文）在实验、实习、工程实践和社会调查中完成。</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为保证毕业设计的质量，成立了毕业设计领导小组和毕业设计答辩委员会，设置了毕业设计的开题、中期检查、答辩等环节，根据各自学科、专业特点，建立比较完善的规章制度质量保障体系，开展院级毕业设计的质量监控与管理工作；加大检查监管力度，做好毕业设计工作过程监控，重点检查学生毕业设计进展情况以及教师指导情况，确保毕业设计工作有序推进；加大对毕业设计的学术不端行为进行监管，坚决杜绝弄虚作假、抄袭等学术不端现象，确保毕业设计质量，从程序上保证毕业设计工作顺利进行。并要求学生的毕业设计材料需提交维普论文检索系统“文本复制检测报告单（全文对照）”进行查重，重复率要求低于30%，并查重结果放入毕业设计（论文）档案袋中进行存档。</w:t>
      </w:r>
    </w:p>
    <w:p>
      <w:pPr>
        <w:pStyle w:val="3"/>
        <w:spacing w:beforeLines="20" w:afterLines="20" w:line="420" w:lineRule="exact"/>
        <w:rPr>
          <w:rFonts w:hint="eastAsia" w:ascii="楷体" w:hAnsi="楷体" w:eastAsia="楷体" w:cs="Times New Roman"/>
          <w:b/>
          <w:bCs w:val="0"/>
          <w:kern w:val="2"/>
          <w:sz w:val="32"/>
          <w:szCs w:val="32"/>
          <w:lang w:val="en-US" w:eastAsia="zh-CN" w:bidi="ar-SA"/>
        </w:rPr>
      </w:pPr>
      <w:bookmarkStart w:id="32" w:name="_Toc103005283"/>
      <w:r>
        <w:rPr>
          <w:rFonts w:hint="eastAsia" w:ascii="楷体" w:hAnsi="楷体" w:eastAsia="楷体" w:cs="Times New Roman"/>
          <w:b/>
          <w:bCs w:val="0"/>
          <w:kern w:val="2"/>
          <w:sz w:val="32"/>
          <w:szCs w:val="32"/>
          <w:lang w:val="en-US" w:eastAsia="zh-CN" w:bidi="ar-SA"/>
        </w:rPr>
        <w:t>5.3 学生表现</w:t>
      </w:r>
      <w:bookmarkEnd w:id="32"/>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实施学风建设，让有梦想的学生变得真实可触。以学生参加各种大赛的形式带动学风建设再上新台阶。结合当前创新大形势，学院推进专业社团建设、建立鼓励学生积极深入开放实验室、感兴趣的工作室，发挥当代大学生的创造力，提高科技爱好者的理论和实际应用水平、丰富大学生的校园生活，给有科技制作特长的同学提供一个展示自我的平台。尝试以创新提高自我创新能力，服务于学风建设和人才培养工作，提高大学生就业力，学生对自我学习状态与成长的满意度较高。学生的政治思想、道德品质素养和组织纪律观念、身体素质符合培养目标要求，学风好。通过努力食品专业部分学生获得了2020年第六届“建行杯”黑龙江省“互联网+”大学生创新创业大赛银奖；2020年第十二届工银融e联“挑战杯”黑龙江省大学生创业计划竞赛铜奖等好成绩。</w:t>
      </w:r>
    </w:p>
    <w:p>
      <w:pPr>
        <w:pStyle w:val="2"/>
        <w:spacing w:beforeLines="20" w:afterLines="20" w:line="420" w:lineRule="exact"/>
        <w:rPr>
          <w:rFonts w:hint="eastAsia" w:ascii="黑体" w:hAnsi="黑体" w:eastAsia="黑体" w:cs="Times New Roman"/>
          <w:b/>
          <w:bCs w:val="0"/>
          <w:kern w:val="2"/>
          <w:sz w:val="32"/>
          <w:szCs w:val="32"/>
          <w:lang w:val="en-US" w:eastAsia="zh-CN" w:bidi="ar-SA"/>
        </w:rPr>
      </w:pPr>
      <w:bookmarkStart w:id="33" w:name="_Toc103005284"/>
      <w:r>
        <w:rPr>
          <w:rFonts w:hint="eastAsia" w:ascii="黑体" w:hAnsi="黑体" w:eastAsia="黑体" w:cs="Times New Roman"/>
          <w:b/>
          <w:bCs w:val="0"/>
          <w:kern w:val="2"/>
          <w:sz w:val="32"/>
          <w:szCs w:val="32"/>
          <w:lang w:val="en-US" w:eastAsia="zh-CN" w:bidi="ar-SA"/>
        </w:rPr>
        <w:t>6 管理工作</w:t>
      </w:r>
      <w:bookmarkEnd w:id="33"/>
    </w:p>
    <w:p>
      <w:pPr>
        <w:pStyle w:val="3"/>
        <w:spacing w:beforeLines="20" w:afterLines="20" w:line="420" w:lineRule="exact"/>
        <w:rPr>
          <w:rFonts w:hint="eastAsia" w:ascii="楷体" w:hAnsi="楷体" w:eastAsia="楷体" w:cs="Times New Roman"/>
          <w:b/>
          <w:bCs w:val="0"/>
          <w:kern w:val="2"/>
          <w:sz w:val="32"/>
          <w:szCs w:val="32"/>
          <w:lang w:val="en-US" w:eastAsia="zh-CN" w:bidi="ar-SA"/>
        </w:rPr>
      </w:pPr>
      <w:bookmarkStart w:id="34" w:name="_Toc103005285"/>
      <w:r>
        <w:rPr>
          <w:rFonts w:hint="eastAsia" w:ascii="楷体" w:hAnsi="楷体" w:eastAsia="楷体" w:cs="Times New Roman"/>
          <w:b/>
          <w:bCs w:val="0"/>
          <w:kern w:val="2"/>
          <w:sz w:val="32"/>
          <w:szCs w:val="32"/>
          <w:lang w:val="en-US" w:eastAsia="zh-CN" w:bidi="ar-SA"/>
        </w:rPr>
        <w:t>6.1 学科专业建设</w:t>
      </w:r>
      <w:bookmarkEnd w:id="34"/>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本专业建设坚持以人为本的原则，高度重视高水平师资队伍建设，全面提升食品质量与安全专业整体水平。采取“引进，提高、外聘”的团队建设策略，培养和建设一支高素质、年龄结构合理、专业方向齐全的师资队伍。计划到2030年实现教师系列中10%以上具有博士学位，100%具有硕士学位。为了适应食品质量与安全专业的可持续发展、完善课程设置、拓展研究领域、强化人才培养，在学校及院系的统一领导下，通过加大投入、内培外引等，重点加强学术带头人以及学术骨干和中青年教师的培养，具体规划如下：</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(1)充实现有的教师队伍，专业教师总数达到25人以上，且具有博士学位的专任教师比例达到10%以上。</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(2)职称结构和年龄结构更加合理，高级职称教师达到总数的40%以上，35-50岁的中青年教师占总数的85%以上。</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(3)专业和研究方向更加齐全、学缘结构更加合理，专业/方向覆盖食品质量与安全专业所涉及的相关专业，50%以上的教师具备其它院校的学历或进修经历。</w:t>
      </w:r>
    </w:p>
    <w:p>
      <w:pPr>
        <w:pStyle w:val="3"/>
        <w:spacing w:beforeLines="20" w:afterLines="20" w:line="420" w:lineRule="exact"/>
        <w:rPr>
          <w:rFonts w:hint="eastAsia" w:ascii="楷体" w:hAnsi="楷体" w:eastAsia="楷体" w:cs="Times New Roman"/>
          <w:b/>
          <w:bCs w:val="0"/>
          <w:kern w:val="2"/>
          <w:sz w:val="32"/>
          <w:szCs w:val="32"/>
          <w:lang w:val="en-US" w:eastAsia="zh-CN" w:bidi="ar-SA"/>
        </w:rPr>
      </w:pPr>
      <w:bookmarkStart w:id="35" w:name="_Toc103005286"/>
      <w:r>
        <w:rPr>
          <w:rFonts w:hint="eastAsia" w:ascii="楷体" w:hAnsi="楷体" w:eastAsia="楷体" w:cs="Times New Roman"/>
          <w:b/>
          <w:bCs w:val="0"/>
          <w:kern w:val="2"/>
          <w:sz w:val="32"/>
          <w:szCs w:val="32"/>
          <w:lang w:val="en-US" w:eastAsia="zh-CN" w:bidi="ar-SA"/>
        </w:rPr>
        <w:t>6.2 教研室建设</w:t>
      </w:r>
      <w:bookmarkEnd w:id="35"/>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食品质量与安全专业隶属于资源工程学院食品教研室，教研室力争使专业教师总数达到25人以上，且具有博士学位的专任教师比例达到10%以上。教研室定期开展教研活动，研究本专业培养计划、课程教学大纲、青年教师教学讲评、实验室建设、教学方法研讨等内容。针对各方面存在的问题，及时提出意见整改，促进教师授课质量的提高。</w:t>
      </w:r>
    </w:p>
    <w:p>
      <w:pPr>
        <w:pStyle w:val="3"/>
        <w:spacing w:beforeLines="20" w:afterLines="20" w:line="420" w:lineRule="exact"/>
        <w:rPr>
          <w:rFonts w:hint="eastAsia" w:ascii="楷体" w:hAnsi="楷体" w:eastAsia="楷体" w:cs="Times New Roman"/>
          <w:b/>
          <w:bCs w:val="0"/>
          <w:kern w:val="2"/>
          <w:sz w:val="32"/>
          <w:szCs w:val="32"/>
          <w:lang w:val="en-US" w:eastAsia="zh-CN" w:bidi="ar-SA"/>
        </w:rPr>
      </w:pPr>
      <w:bookmarkStart w:id="36" w:name="_Toc103005287"/>
      <w:r>
        <w:rPr>
          <w:rFonts w:hint="eastAsia" w:ascii="楷体" w:hAnsi="楷体" w:eastAsia="楷体" w:cs="Times New Roman"/>
          <w:b/>
          <w:bCs w:val="0"/>
          <w:kern w:val="2"/>
          <w:sz w:val="32"/>
          <w:szCs w:val="32"/>
          <w:lang w:val="en-US" w:eastAsia="zh-CN" w:bidi="ar-SA"/>
        </w:rPr>
        <w:t>6.3 教学质量保障</w:t>
      </w:r>
      <w:bookmarkEnd w:id="36"/>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黑龙江工业学院资源工程学院设院长1职、党总支书记1职、党总支副书记（兼任副院长）1职、副院长1职；设置综合办公室、教科研办公室、学生管理办公室和各专业教研室，各设主任1职，负责学院的教学工作及学生工作，按食品质量与安全专业设置食品教研室。院长、副院长参与教学管理，书记、辅导员参与学生管理，保障教学秩序的正常运行。在教学运行过程中将严格执行学校、院系二级教学管理和质量监控制度，确保本专业人才培养质量不断提高，具体措施如下：</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(一)建立教学检查制度</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教务处与系部坚持定期进行教学质量及教学秩序检查，经常了解教学情况，加强教学信息反馈过程的管理。</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(二)建立齐备、规范的教学档案制度</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每位任课老师都备有全套、详实的教学档案资料，如课程教学大纲、教学计划、课程标准、教学日志、学生成绩登记表、成绩分析、试卷分析等，确保教学过程的正常、有序以及教学档案的留存。</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(三)建立教师教学工作考核制度</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教师教学工作考核，是学院对教师教学工作实施的全过程、定量化的检查、考核制度。考核人员包括学院领导、院教学督导组成员、教务处成员、各系主任、教研室主任，考核内容包括课前准备（教案、讲稿）、课堂教学、辅导答疑、作业批改等环节，考核方式包括定期检查教学日志、教案、讲稿、学生作业，随堂听课，不定期抽查辅导答疑，召开学生座谈会等。各项检查、考核都要填写量化考核表，期末汇总。</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(四)建立听课制度</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充分发挥听课制度对提高教学质量的重要作用。教学督导组成员、院系领导及教研室主任都定期深入课堂（包括实习、实训课）听课，全面了解教学情况、及时发现和解决存在的问题。教研室也组织教师之间互相听课，开展研讨，并填写同行评价表，共同提高教学质量。</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(五)建立学生评教和教师评学制度</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每学期末组织学生对任课教师进行一次评教活动，同时进行教师评学活动。由教学督导组和教务处共同组织，教学督导组进行数据的汇总、统计与分析，并将结果反馈。</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(六)建立学风检查制度</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学生工作处与各系部坚持定期进行学风检查，经常了解学生学习纪律、完成课堂课后作业、考风、考纪及主动学习状况，加强对学生学习过程的管理。学风检查由学生工作部统一组织，检查的方式采取抽查学生作业、召开座谈会、抽查学生出勤情况、抽查学生自习情况等。</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(七)建立质量跟踪调查体系</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在第一届毕业生毕业后建立完善的质量跟踪调查体系。对所有毕业生的毕业去向及工作情况进行跟踪调查，收集毕业生信息，以此作为教学质量评价和学生学习效果分析的依据，调整教学内容和教学方法，优化课程设置，使培养的学生更能适应社会的需求。</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在教学和管理过程中，不断强调制度化、规范化管理。使教学质量监控机制不仅覆盖到教学过程的主要环节，同时也要促进教学质量信息的进一步量化，加强平时教学过程中关键性数据的积累。</w:t>
      </w:r>
      <w:bookmarkEnd w:id="0"/>
      <w:bookmarkEnd w:id="18"/>
    </w:p>
    <w:p>
      <w:pPr>
        <w:pStyle w:val="2"/>
        <w:spacing w:beforeLines="20" w:afterLines="20" w:line="420" w:lineRule="exact"/>
        <w:rPr>
          <w:rFonts w:hint="eastAsia" w:ascii="黑体" w:hAnsi="黑体" w:eastAsia="黑体" w:cs="Times New Roman"/>
          <w:b/>
          <w:bCs w:val="0"/>
          <w:kern w:val="2"/>
          <w:sz w:val="32"/>
          <w:szCs w:val="32"/>
          <w:lang w:val="en-US" w:eastAsia="zh-CN" w:bidi="ar-SA"/>
        </w:rPr>
      </w:pPr>
      <w:bookmarkStart w:id="37" w:name="_Toc103005288"/>
      <w:bookmarkStart w:id="38" w:name="_Toc6591"/>
      <w:r>
        <w:rPr>
          <w:rFonts w:hint="eastAsia" w:ascii="黑体" w:hAnsi="黑体" w:eastAsia="黑体" w:cs="Times New Roman"/>
          <w:b/>
          <w:bCs w:val="0"/>
          <w:kern w:val="2"/>
          <w:sz w:val="32"/>
          <w:szCs w:val="32"/>
          <w:lang w:val="en-US" w:eastAsia="zh-CN" w:bidi="ar-SA"/>
        </w:rPr>
        <w:t>7 结论</w:t>
      </w:r>
      <w:bookmarkEnd w:id="37"/>
      <w:bookmarkEnd w:id="38"/>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通过近四年来持续不断探索和软硬件的建设，食品质量与安全专业达到了《中华人民共和国学位条例》、《关于进一步改进学士学位授权审核工作的通知》和《黑龙江省高等学校申请新增学士学位授予专业评审指标体系》的要求。经过全面认真的自评，认为食品质量与安全专业在师资队伍、教学工作、教学条件、应届毕业生情况和管理工作等五个方面均符合黑龙江省学士学位授予权的基本条件。综上所述，可得如下结论：</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（1）食品质量与安全专业设置适应社会需求，充分体现了区域经济发展特色；</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（2）食品质量与安全专业教师的职称、学历、学位、年龄结构合理，符合专业发展的需要；</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（3）食品质量与安全专业师资队伍理论和实践经验丰富，有利于应用型人才的培养；师资团队科研能力较强、科研方向稳定，能够服务区域经济发展；</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（4）食品质量与安全专业教学条件良好，理论与实践教学保障有力；</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（5）食品质量与安全专业教学管理制度健全，教学质量监督保障措施得力；</w:t>
      </w:r>
    </w:p>
    <w:p>
      <w:p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rPr>
        <w:t>（6）不足之处：教学改革成果较少，教师队伍有待进一步优化。</w:t>
      </w:r>
    </w:p>
    <w:p>
      <w:pPr>
        <w:spacing w:before="0" w:beforeAutospacing="0" w:after="0" w:afterAutospacing="0"/>
        <w:ind w:firstLine="643" w:firstLineChars="200"/>
        <w:rPr>
          <w:rFonts w:hint="eastAsia" w:ascii="仿宋" w:hAnsi="仿宋" w:eastAsia="仿宋"/>
          <w:sz w:val="32"/>
          <w:szCs w:val="32"/>
        </w:rPr>
      </w:pPr>
      <w:r>
        <w:rPr>
          <w:rFonts w:hint="eastAsia" w:ascii="仿宋" w:hAnsi="仿宋" w:eastAsia="仿宋"/>
          <w:b/>
          <w:bCs/>
          <w:sz w:val="32"/>
          <w:szCs w:val="32"/>
        </w:rPr>
        <w:t>自评等级</w:t>
      </w:r>
      <w:r>
        <w:rPr>
          <w:rFonts w:hint="eastAsia" w:ascii="仿宋" w:hAnsi="仿宋" w:eastAsia="仿宋"/>
          <w:sz w:val="32"/>
          <w:szCs w:val="32"/>
        </w:rPr>
        <w:t>：合格</w:t>
      </w:r>
    </w:p>
    <w:sectPr>
      <w:footerReference r:id="rId4" w:type="default"/>
      <w:pgSz w:w="11906" w:h="16838"/>
      <w:pgMar w:top="1418" w:right="1418" w:bottom="1418" w:left="170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汉仪中黑简">
    <w:altName w:val="黑体"/>
    <w:panose1 w:val="00000000000000000000"/>
    <w:charset w:val="86"/>
    <w:family w:val="modern"/>
    <w:pitch w:val="default"/>
    <w:sig w:usb0="00000000" w:usb1="00000000" w:usb2="00000012" w:usb3="00000000" w:csb0="00040000" w:csb1="00000000"/>
  </w:font>
  <w:font w:name="汉仪中隶书简">
    <w:altName w:val="宋体"/>
    <w:panose1 w:val="00000000000000000000"/>
    <w:charset w:val="86"/>
    <w:family w:val="modern"/>
    <w:pitch w:val="default"/>
    <w:sig w:usb0="00000000" w:usb1="00000000" w:usb2="00000012" w:usb3="00000000" w:csb0="00040000" w:csb1="00000000"/>
  </w:font>
  <w:font w:name="汉仪大宋简">
    <w:altName w:val="宋体"/>
    <w:panose1 w:val="00000000000000000000"/>
    <w:charset w:val="86"/>
    <w:family w:val="modern"/>
    <w:pitch w:val="default"/>
    <w:sig w:usb0="00000000" w:usb1="00000000" w:usb2="00000012"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3076" o:spid="_x0000_s307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9</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Q1ZWQ4OTZkYTRiYWFlZjBiZGJmNjFjZjNkZmEyYmYifQ=="/>
  </w:docVars>
  <w:rsids>
    <w:rsidRoot w:val="00CE75C2"/>
    <w:rsid w:val="000046E0"/>
    <w:rsid w:val="000079DC"/>
    <w:rsid w:val="00012641"/>
    <w:rsid w:val="00016AA6"/>
    <w:rsid w:val="00023655"/>
    <w:rsid w:val="000320E3"/>
    <w:rsid w:val="000368E1"/>
    <w:rsid w:val="00037E85"/>
    <w:rsid w:val="00040C6C"/>
    <w:rsid w:val="000426A3"/>
    <w:rsid w:val="00045044"/>
    <w:rsid w:val="000503DD"/>
    <w:rsid w:val="000613AA"/>
    <w:rsid w:val="00061C50"/>
    <w:rsid w:val="00061C58"/>
    <w:rsid w:val="00064210"/>
    <w:rsid w:val="00066D45"/>
    <w:rsid w:val="000708F8"/>
    <w:rsid w:val="00072023"/>
    <w:rsid w:val="00080EBF"/>
    <w:rsid w:val="000811C4"/>
    <w:rsid w:val="000812CE"/>
    <w:rsid w:val="00081CA7"/>
    <w:rsid w:val="00082E5B"/>
    <w:rsid w:val="00084415"/>
    <w:rsid w:val="000848C9"/>
    <w:rsid w:val="000859A6"/>
    <w:rsid w:val="00092339"/>
    <w:rsid w:val="00093130"/>
    <w:rsid w:val="0009354E"/>
    <w:rsid w:val="00094BA0"/>
    <w:rsid w:val="00096EAD"/>
    <w:rsid w:val="000A1F80"/>
    <w:rsid w:val="000A2EED"/>
    <w:rsid w:val="000A510C"/>
    <w:rsid w:val="000B1DFC"/>
    <w:rsid w:val="000B53F6"/>
    <w:rsid w:val="000B55A3"/>
    <w:rsid w:val="000B5C2F"/>
    <w:rsid w:val="000B6560"/>
    <w:rsid w:val="000C1B6C"/>
    <w:rsid w:val="000D1EE4"/>
    <w:rsid w:val="000D20A6"/>
    <w:rsid w:val="000D34F2"/>
    <w:rsid w:val="000D5517"/>
    <w:rsid w:val="000E5757"/>
    <w:rsid w:val="000E60A3"/>
    <w:rsid w:val="000F0AA0"/>
    <w:rsid w:val="000F1110"/>
    <w:rsid w:val="0010336D"/>
    <w:rsid w:val="00103C93"/>
    <w:rsid w:val="0010410A"/>
    <w:rsid w:val="00111528"/>
    <w:rsid w:val="00111755"/>
    <w:rsid w:val="0011241E"/>
    <w:rsid w:val="001156FD"/>
    <w:rsid w:val="00133306"/>
    <w:rsid w:val="00135133"/>
    <w:rsid w:val="0014315D"/>
    <w:rsid w:val="00145448"/>
    <w:rsid w:val="00153A0E"/>
    <w:rsid w:val="00155AD0"/>
    <w:rsid w:val="00157808"/>
    <w:rsid w:val="001579F3"/>
    <w:rsid w:val="00157AD6"/>
    <w:rsid w:val="00157DAE"/>
    <w:rsid w:val="001647DA"/>
    <w:rsid w:val="00176D65"/>
    <w:rsid w:val="00177EB8"/>
    <w:rsid w:val="001937DB"/>
    <w:rsid w:val="001A2A59"/>
    <w:rsid w:val="001A2C1C"/>
    <w:rsid w:val="001A3569"/>
    <w:rsid w:val="001A540E"/>
    <w:rsid w:val="001A63DD"/>
    <w:rsid w:val="001B08DB"/>
    <w:rsid w:val="001B1515"/>
    <w:rsid w:val="001B1A35"/>
    <w:rsid w:val="001B4B55"/>
    <w:rsid w:val="001B6D78"/>
    <w:rsid w:val="001B7989"/>
    <w:rsid w:val="001B7FBB"/>
    <w:rsid w:val="001C69F3"/>
    <w:rsid w:val="001C6AF8"/>
    <w:rsid w:val="001E2A57"/>
    <w:rsid w:val="001E402E"/>
    <w:rsid w:val="001E4D5C"/>
    <w:rsid w:val="001F2924"/>
    <w:rsid w:val="001F7045"/>
    <w:rsid w:val="002008E8"/>
    <w:rsid w:val="00203B04"/>
    <w:rsid w:val="002051E8"/>
    <w:rsid w:val="00214327"/>
    <w:rsid w:val="00222A41"/>
    <w:rsid w:val="0022504D"/>
    <w:rsid w:val="002274CD"/>
    <w:rsid w:val="0022784C"/>
    <w:rsid w:val="00232529"/>
    <w:rsid w:val="00241243"/>
    <w:rsid w:val="002421FC"/>
    <w:rsid w:val="00250AF6"/>
    <w:rsid w:val="00251779"/>
    <w:rsid w:val="00251A8C"/>
    <w:rsid w:val="00253DA9"/>
    <w:rsid w:val="002546D7"/>
    <w:rsid w:val="002564F9"/>
    <w:rsid w:val="00264988"/>
    <w:rsid w:val="00264E3B"/>
    <w:rsid w:val="0026595B"/>
    <w:rsid w:val="00266153"/>
    <w:rsid w:val="00270FC3"/>
    <w:rsid w:val="002715F4"/>
    <w:rsid w:val="00274F1A"/>
    <w:rsid w:val="00275558"/>
    <w:rsid w:val="00275F83"/>
    <w:rsid w:val="00276D78"/>
    <w:rsid w:val="002823AD"/>
    <w:rsid w:val="00283AB1"/>
    <w:rsid w:val="00286CA0"/>
    <w:rsid w:val="0029190B"/>
    <w:rsid w:val="002A1E04"/>
    <w:rsid w:val="002A2026"/>
    <w:rsid w:val="002A2931"/>
    <w:rsid w:val="002A3199"/>
    <w:rsid w:val="002A6D0F"/>
    <w:rsid w:val="002B189E"/>
    <w:rsid w:val="002B37A5"/>
    <w:rsid w:val="002B4BDF"/>
    <w:rsid w:val="002B4E4C"/>
    <w:rsid w:val="002C0857"/>
    <w:rsid w:val="002C283A"/>
    <w:rsid w:val="002C2AC5"/>
    <w:rsid w:val="002C301B"/>
    <w:rsid w:val="002C5E1F"/>
    <w:rsid w:val="002D0147"/>
    <w:rsid w:val="002D3405"/>
    <w:rsid w:val="002D74C3"/>
    <w:rsid w:val="002E467C"/>
    <w:rsid w:val="002E4CD1"/>
    <w:rsid w:val="002F0289"/>
    <w:rsid w:val="002F16E2"/>
    <w:rsid w:val="002F22F5"/>
    <w:rsid w:val="002F248B"/>
    <w:rsid w:val="002F441E"/>
    <w:rsid w:val="002F6512"/>
    <w:rsid w:val="00300547"/>
    <w:rsid w:val="00301F08"/>
    <w:rsid w:val="00302E3E"/>
    <w:rsid w:val="00303042"/>
    <w:rsid w:val="0030391C"/>
    <w:rsid w:val="003067F5"/>
    <w:rsid w:val="00313C5C"/>
    <w:rsid w:val="003163E2"/>
    <w:rsid w:val="0032298A"/>
    <w:rsid w:val="00322BF7"/>
    <w:rsid w:val="003239A5"/>
    <w:rsid w:val="003266AD"/>
    <w:rsid w:val="00330652"/>
    <w:rsid w:val="003306C8"/>
    <w:rsid w:val="0033330D"/>
    <w:rsid w:val="00337568"/>
    <w:rsid w:val="00341F24"/>
    <w:rsid w:val="00344966"/>
    <w:rsid w:val="003451C1"/>
    <w:rsid w:val="00347FA0"/>
    <w:rsid w:val="00347FD0"/>
    <w:rsid w:val="003567B0"/>
    <w:rsid w:val="00357112"/>
    <w:rsid w:val="00360C08"/>
    <w:rsid w:val="00380DAC"/>
    <w:rsid w:val="003872D9"/>
    <w:rsid w:val="003A6D53"/>
    <w:rsid w:val="003B3067"/>
    <w:rsid w:val="003B715F"/>
    <w:rsid w:val="003B7C1F"/>
    <w:rsid w:val="003B7F2E"/>
    <w:rsid w:val="003C75C2"/>
    <w:rsid w:val="003D255F"/>
    <w:rsid w:val="003D55C3"/>
    <w:rsid w:val="003D773A"/>
    <w:rsid w:val="003E1E5E"/>
    <w:rsid w:val="003E5937"/>
    <w:rsid w:val="003E62E5"/>
    <w:rsid w:val="003E7CD6"/>
    <w:rsid w:val="003F1FED"/>
    <w:rsid w:val="003F5150"/>
    <w:rsid w:val="003F5A61"/>
    <w:rsid w:val="004004BD"/>
    <w:rsid w:val="004040A1"/>
    <w:rsid w:val="004102B9"/>
    <w:rsid w:val="004105A8"/>
    <w:rsid w:val="00415FA4"/>
    <w:rsid w:val="00420681"/>
    <w:rsid w:val="00420A31"/>
    <w:rsid w:val="00423194"/>
    <w:rsid w:val="004232C3"/>
    <w:rsid w:val="00425319"/>
    <w:rsid w:val="004277D9"/>
    <w:rsid w:val="00430AD0"/>
    <w:rsid w:val="00435250"/>
    <w:rsid w:val="00436910"/>
    <w:rsid w:val="004476CC"/>
    <w:rsid w:val="00447F21"/>
    <w:rsid w:val="004500CD"/>
    <w:rsid w:val="00452361"/>
    <w:rsid w:val="00456F4D"/>
    <w:rsid w:val="00460031"/>
    <w:rsid w:val="004646EA"/>
    <w:rsid w:val="00465432"/>
    <w:rsid w:val="00466492"/>
    <w:rsid w:val="0047013A"/>
    <w:rsid w:val="00472102"/>
    <w:rsid w:val="00477E73"/>
    <w:rsid w:val="0048033E"/>
    <w:rsid w:val="00481D5E"/>
    <w:rsid w:val="00482351"/>
    <w:rsid w:val="00483797"/>
    <w:rsid w:val="00485AD1"/>
    <w:rsid w:val="00486648"/>
    <w:rsid w:val="00491139"/>
    <w:rsid w:val="004913ED"/>
    <w:rsid w:val="00495680"/>
    <w:rsid w:val="00496B94"/>
    <w:rsid w:val="004A1FED"/>
    <w:rsid w:val="004B0B59"/>
    <w:rsid w:val="004B5E6C"/>
    <w:rsid w:val="004B6F90"/>
    <w:rsid w:val="004C06D3"/>
    <w:rsid w:val="004C0B8D"/>
    <w:rsid w:val="004C3F36"/>
    <w:rsid w:val="004D3D1E"/>
    <w:rsid w:val="004E0041"/>
    <w:rsid w:val="004E4D3C"/>
    <w:rsid w:val="004F44AE"/>
    <w:rsid w:val="004F512D"/>
    <w:rsid w:val="0050014D"/>
    <w:rsid w:val="00501D18"/>
    <w:rsid w:val="005047C0"/>
    <w:rsid w:val="0051020A"/>
    <w:rsid w:val="00510682"/>
    <w:rsid w:val="005121FC"/>
    <w:rsid w:val="00512574"/>
    <w:rsid w:val="00512A0E"/>
    <w:rsid w:val="00514BD6"/>
    <w:rsid w:val="00515442"/>
    <w:rsid w:val="00516129"/>
    <w:rsid w:val="005235A5"/>
    <w:rsid w:val="005237FF"/>
    <w:rsid w:val="00523A37"/>
    <w:rsid w:val="005257EA"/>
    <w:rsid w:val="00525A8E"/>
    <w:rsid w:val="005310D9"/>
    <w:rsid w:val="00532990"/>
    <w:rsid w:val="00540582"/>
    <w:rsid w:val="00542104"/>
    <w:rsid w:val="00543DBC"/>
    <w:rsid w:val="00550722"/>
    <w:rsid w:val="00554F35"/>
    <w:rsid w:val="00557F48"/>
    <w:rsid w:val="00562A26"/>
    <w:rsid w:val="0057127B"/>
    <w:rsid w:val="00575011"/>
    <w:rsid w:val="00580192"/>
    <w:rsid w:val="00581EE8"/>
    <w:rsid w:val="00584107"/>
    <w:rsid w:val="00587467"/>
    <w:rsid w:val="00593DBF"/>
    <w:rsid w:val="00594041"/>
    <w:rsid w:val="00595017"/>
    <w:rsid w:val="00596A65"/>
    <w:rsid w:val="005A1619"/>
    <w:rsid w:val="005A33E9"/>
    <w:rsid w:val="005B5358"/>
    <w:rsid w:val="005C0FDC"/>
    <w:rsid w:val="005C2738"/>
    <w:rsid w:val="005C3E07"/>
    <w:rsid w:val="005C48B3"/>
    <w:rsid w:val="005D02FD"/>
    <w:rsid w:val="005D1D66"/>
    <w:rsid w:val="005D3F3D"/>
    <w:rsid w:val="005F28AD"/>
    <w:rsid w:val="005F3575"/>
    <w:rsid w:val="005F79D2"/>
    <w:rsid w:val="00602F6D"/>
    <w:rsid w:val="00616B88"/>
    <w:rsid w:val="00617912"/>
    <w:rsid w:val="00617EE2"/>
    <w:rsid w:val="006219A3"/>
    <w:rsid w:val="00621FDE"/>
    <w:rsid w:val="00630FF1"/>
    <w:rsid w:val="0063448E"/>
    <w:rsid w:val="006421F6"/>
    <w:rsid w:val="00645234"/>
    <w:rsid w:val="00655DC8"/>
    <w:rsid w:val="00665E9E"/>
    <w:rsid w:val="00675B4E"/>
    <w:rsid w:val="00677094"/>
    <w:rsid w:val="00680C02"/>
    <w:rsid w:val="00687B82"/>
    <w:rsid w:val="006963FD"/>
    <w:rsid w:val="00697164"/>
    <w:rsid w:val="006A22B1"/>
    <w:rsid w:val="006A3866"/>
    <w:rsid w:val="006A49E0"/>
    <w:rsid w:val="006B2485"/>
    <w:rsid w:val="006B3EDE"/>
    <w:rsid w:val="006B7883"/>
    <w:rsid w:val="006C3668"/>
    <w:rsid w:val="006C7717"/>
    <w:rsid w:val="006C780F"/>
    <w:rsid w:val="006C7D49"/>
    <w:rsid w:val="006D2C5B"/>
    <w:rsid w:val="006D3810"/>
    <w:rsid w:val="006D796D"/>
    <w:rsid w:val="006D7BF1"/>
    <w:rsid w:val="006E1FAD"/>
    <w:rsid w:val="006E296A"/>
    <w:rsid w:val="006E540A"/>
    <w:rsid w:val="006F109E"/>
    <w:rsid w:val="006F6EBB"/>
    <w:rsid w:val="00706033"/>
    <w:rsid w:val="00710E52"/>
    <w:rsid w:val="007111D0"/>
    <w:rsid w:val="00714ECE"/>
    <w:rsid w:val="007157DF"/>
    <w:rsid w:val="00721E26"/>
    <w:rsid w:val="00722CEB"/>
    <w:rsid w:val="007272E3"/>
    <w:rsid w:val="0073233A"/>
    <w:rsid w:val="00733880"/>
    <w:rsid w:val="00744116"/>
    <w:rsid w:val="00745EFF"/>
    <w:rsid w:val="0074678A"/>
    <w:rsid w:val="00762B48"/>
    <w:rsid w:val="00763907"/>
    <w:rsid w:val="00764E13"/>
    <w:rsid w:val="00773ECF"/>
    <w:rsid w:val="00777C33"/>
    <w:rsid w:val="0078388A"/>
    <w:rsid w:val="00787F2A"/>
    <w:rsid w:val="00790171"/>
    <w:rsid w:val="00793391"/>
    <w:rsid w:val="00795E66"/>
    <w:rsid w:val="00796F18"/>
    <w:rsid w:val="00796F2F"/>
    <w:rsid w:val="007979D4"/>
    <w:rsid w:val="007A3385"/>
    <w:rsid w:val="007B76B8"/>
    <w:rsid w:val="007B7F3E"/>
    <w:rsid w:val="007C5A16"/>
    <w:rsid w:val="007C70DF"/>
    <w:rsid w:val="007D02B2"/>
    <w:rsid w:val="007D4F98"/>
    <w:rsid w:val="007E4962"/>
    <w:rsid w:val="007E62A8"/>
    <w:rsid w:val="008026D3"/>
    <w:rsid w:val="00806250"/>
    <w:rsid w:val="008067D2"/>
    <w:rsid w:val="00815A69"/>
    <w:rsid w:val="00815FED"/>
    <w:rsid w:val="0082417B"/>
    <w:rsid w:val="00825656"/>
    <w:rsid w:val="00833866"/>
    <w:rsid w:val="00834DFB"/>
    <w:rsid w:val="008356FB"/>
    <w:rsid w:val="008363D2"/>
    <w:rsid w:val="00844F3E"/>
    <w:rsid w:val="00847FEB"/>
    <w:rsid w:val="00867161"/>
    <w:rsid w:val="00870FB6"/>
    <w:rsid w:val="00872BB9"/>
    <w:rsid w:val="0088045B"/>
    <w:rsid w:val="00880556"/>
    <w:rsid w:val="0089282F"/>
    <w:rsid w:val="00894ACC"/>
    <w:rsid w:val="00895D8F"/>
    <w:rsid w:val="008A1896"/>
    <w:rsid w:val="008A2A02"/>
    <w:rsid w:val="008B73AD"/>
    <w:rsid w:val="008C2F24"/>
    <w:rsid w:val="008C360D"/>
    <w:rsid w:val="008C37B9"/>
    <w:rsid w:val="008C535D"/>
    <w:rsid w:val="008C550E"/>
    <w:rsid w:val="008D035F"/>
    <w:rsid w:val="008D1896"/>
    <w:rsid w:val="008D4BB3"/>
    <w:rsid w:val="008D562B"/>
    <w:rsid w:val="008E3B65"/>
    <w:rsid w:val="008E612C"/>
    <w:rsid w:val="008E643E"/>
    <w:rsid w:val="008F11B4"/>
    <w:rsid w:val="008F3D71"/>
    <w:rsid w:val="0090277D"/>
    <w:rsid w:val="00911A07"/>
    <w:rsid w:val="009127F2"/>
    <w:rsid w:val="009135BA"/>
    <w:rsid w:val="0091628B"/>
    <w:rsid w:val="00917085"/>
    <w:rsid w:val="0091759F"/>
    <w:rsid w:val="009230D1"/>
    <w:rsid w:val="00925433"/>
    <w:rsid w:val="00927557"/>
    <w:rsid w:val="009358A4"/>
    <w:rsid w:val="0094221E"/>
    <w:rsid w:val="00945965"/>
    <w:rsid w:val="0094614A"/>
    <w:rsid w:val="00955A35"/>
    <w:rsid w:val="00966CB2"/>
    <w:rsid w:val="00967F3B"/>
    <w:rsid w:val="00982EED"/>
    <w:rsid w:val="00983B3B"/>
    <w:rsid w:val="0098684C"/>
    <w:rsid w:val="00990DF7"/>
    <w:rsid w:val="009910E1"/>
    <w:rsid w:val="009951B2"/>
    <w:rsid w:val="009A5BCB"/>
    <w:rsid w:val="009A5F75"/>
    <w:rsid w:val="009B37BD"/>
    <w:rsid w:val="009C17E1"/>
    <w:rsid w:val="009C1C1D"/>
    <w:rsid w:val="009C2532"/>
    <w:rsid w:val="009C4728"/>
    <w:rsid w:val="009C50D9"/>
    <w:rsid w:val="009C7EB4"/>
    <w:rsid w:val="009D10B2"/>
    <w:rsid w:val="009D1880"/>
    <w:rsid w:val="009E0C80"/>
    <w:rsid w:val="009E23FD"/>
    <w:rsid w:val="009E538F"/>
    <w:rsid w:val="009E674B"/>
    <w:rsid w:val="009F485E"/>
    <w:rsid w:val="00A04915"/>
    <w:rsid w:val="00A12DBF"/>
    <w:rsid w:val="00A1445A"/>
    <w:rsid w:val="00A14E4D"/>
    <w:rsid w:val="00A21FA1"/>
    <w:rsid w:val="00A2747D"/>
    <w:rsid w:val="00A33D05"/>
    <w:rsid w:val="00A33EC9"/>
    <w:rsid w:val="00A40BCD"/>
    <w:rsid w:val="00A44B7B"/>
    <w:rsid w:val="00A45E85"/>
    <w:rsid w:val="00A50FFF"/>
    <w:rsid w:val="00A57BF3"/>
    <w:rsid w:val="00A639A6"/>
    <w:rsid w:val="00A64E56"/>
    <w:rsid w:val="00A664A1"/>
    <w:rsid w:val="00A66F0C"/>
    <w:rsid w:val="00A70804"/>
    <w:rsid w:val="00A70924"/>
    <w:rsid w:val="00A71AEB"/>
    <w:rsid w:val="00A722A8"/>
    <w:rsid w:val="00A72837"/>
    <w:rsid w:val="00A7477E"/>
    <w:rsid w:val="00A74F45"/>
    <w:rsid w:val="00A7770F"/>
    <w:rsid w:val="00A77B84"/>
    <w:rsid w:val="00A80737"/>
    <w:rsid w:val="00A82322"/>
    <w:rsid w:val="00A826D4"/>
    <w:rsid w:val="00A82B8D"/>
    <w:rsid w:val="00A8728C"/>
    <w:rsid w:val="00A87506"/>
    <w:rsid w:val="00A9248F"/>
    <w:rsid w:val="00A944E2"/>
    <w:rsid w:val="00A95138"/>
    <w:rsid w:val="00A95B46"/>
    <w:rsid w:val="00A95E7D"/>
    <w:rsid w:val="00AA0810"/>
    <w:rsid w:val="00AA320F"/>
    <w:rsid w:val="00AA77AD"/>
    <w:rsid w:val="00AB0E6B"/>
    <w:rsid w:val="00AC27F7"/>
    <w:rsid w:val="00AC2853"/>
    <w:rsid w:val="00AC28D5"/>
    <w:rsid w:val="00AC403B"/>
    <w:rsid w:val="00AC7ACC"/>
    <w:rsid w:val="00AD40C2"/>
    <w:rsid w:val="00AE6A67"/>
    <w:rsid w:val="00AF66F4"/>
    <w:rsid w:val="00B01B53"/>
    <w:rsid w:val="00B10587"/>
    <w:rsid w:val="00B1388F"/>
    <w:rsid w:val="00B16EEC"/>
    <w:rsid w:val="00B1701B"/>
    <w:rsid w:val="00B17D46"/>
    <w:rsid w:val="00B2334A"/>
    <w:rsid w:val="00B30BD7"/>
    <w:rsid w:val="00B310A7"/>
    <w:rsid w:val="00B31ED8"/>
    <w:rsid w:val="00B4568F"/>
    <w:rsid w:val="00B4755D"/>
    <w:rsid w:val="00B47F6D"/>
    <w:rsid w:val="00B54F54"/>
    <w:rsid w:val="00B559E5"/>
    <w:rsid w:val="00B6357A"/>
    <w:rsid w:val="00B63B3A"/>
    <w:rsid w:val="00B6507C"/>
    <w:rsid w:val="00B75A18"/>
    <w:rsid w:val="00B761FC"/>
    <w:rsid w:val="00B81C85"/>
    <w:rsid w:val="00B81DA0"/>
    <w:rsid w:val="00B81F03"/>
    <w:rsid w:val="00B85970"/>
    <w:rsid w:val="00B86DB1"/>
    <w:rsid w:val="00B87348"/>
    <w:rsid w:val="00B90D32"/>
    <w:rsid w:val="00B943F1"/>
    <w:rsid w:val="00B97534"/>
    <w:rsid w:val="00BA0048"/>
    <w:rsid w:val="00BA2FB4"/>
    <w:rsid w:val="00BA33E2"/>
    <w:rsid w:val="00BB369E"/>
    <w:rsid w:val="00BC14DE"/>
    <w:rsid w:val="00BC54E4"/>
    <w:rsid w:val="00BD67FC"/>
    <w:rsid w:val="00BE03AB"/>
    <w:rsid w:val="00BE200E"/>
    <w:rsid w:val="00BE4F3A"/>
    <w:rsid w:val="00BE6582"/>
    <w:rsid w:val="00BE7941"/>
    <w:rsid w:val="00BF1075"/>
    <w:rsid w:val="00BF3E92"/>
    <w:rsid w:val="00BF442D"/>
    <w:rsid w:val="00BF49B4"/>
    <w:rsid w:val="00BF7C96"/>
    <w:rsid w:val="00C01B22"/>
    <w:rsid w:val="00C04B04"/>
    <w:rsid w:val="00C06353"/>
    <w:rsid w:val="00C07121"/>
    <w:rsid w:val="00C11265"/>
    <w:rsid w:val="00C11557"/>
    <w:rsid w:val="00C12822"/>
    <w:rsid w:val="00C156AB"/>
    <w:rsid w:val="00C15C31"/>
    <w:rsid w:val="00C15F5D"/>
    <w:rsid w:val="00C169C0"/>
    <w:rsid w:val="00C3360D"/>
    <w:rsid w:val="00C41A73"/>
    <w:rsid w:val="00C44517"/>
    <w:rsid w:val="00C5036E"/>
    <w:rsid w:val="00C55995"/>
    <w:rsid w:val="00C562BA"/>
    <w:rsid w:val="00C5727C"/>
    <w:rsid w:val="00C60164"/>
    <w:rsid w:val="00C653D4"/>
    <w:rsid w:val="00C66BFD"/>
    <w:rsid w:val="00C7267E"/>
    <w:rsid w:val="00C7599D"/>
    <w:rsid w:val="00C75DBA"/>
    <w:rsid w:val="00C76AA8"/>
    <w:rsid w:val="00C77B4F"/>
    <w:rsid w:val="00C8202B"/>
    <w:rsid w:val="00C929F8"/>
    <w:rsid w:val="00CA5103"/>
    <w:rsid w:val="00CA7F3E"/>
    <w:rsid w:val="00CB07F9"/>
    <w:rsid w:val="00CB12C4"/>
    <w:rsid w:val="00CB7342"/>
    <w:rsid w:val="00CB7F9B"/>
    <w:rsid w:val="00CC715A"/>
    <w:rsid w:val="00CD0C00"/>
    <w:rsid w:val="00CD1CA5"/>
    <w:rsid w:val="00CD3055"/>
    <w:rsid w:val="00CD3B3D"/>
    <w:rsid w:val="00CD3C21"/>
    <w:rsid w:val="00CD5DE8"/>
    <w:rsid w:val="00CD7AB7"/>
    <w:rsid w:val="00CD7B52"/>
    <w:rsid w:val="00CE3AC3"/>
    <w:rsid w:val="00CE5BBA"/>
    <w:rsid w:val="00CE75C2"/>
    <w:rsid w:val="00CE7C9F"/>
    <w:rsid w:val="00CF1464"/>
    <w:rsid w:val="00CF16DD"/>
    <w:rsid w:val="00CF4A09"/>
    <w:rsid w:val="00CF5178"/>
    <w:rsid w:val="00CF5511"/>
    <w:rsid w:val="00CF6DA7"/>
    <w:rsid w:val="00D0046C"/>
    <w:rsid w:val="00D0286B"/>
    <w:rsid w:val="00D065EB"/>
    <w:rsid w:val="00D06E88"/>
    <w:rsid w:val="00D12C1F"/>
    <w:rsid w:val="00D20667"/>
    <w:rsid w:val="00D30A8A"/>
    <w:rsid w:val="00D338F6"/>
    <w:rsid w:val="00D3526D"/>
    <w:rsid w:val="00D361FB"/>
    <w:rsid w:val="00D420CE"/>
    <w:rsid w:val="00D4778E"/>
    <w:rsid w:val="00D5281E"/>
    <w:rsid w:val="00D54159"/>
    <w:rsid w:val="00D560D0"/>
    <w:rsid w:val="00D63A96"/>
    <w:rsid w:val="00D7458E"/>
    <w:rsid w:val="00D77B12"/>
    <w:rsid w:val="00D81B23"/>
    <w:rsid w:val="00D82F6F"/>
    <w:rsid w:val="00D865A8"/>
    <w:rsid w:val="00D8714E"/>
    <w:rsid w:val="00D872C9"/>
    <w:rsid w:val="00D96A60"/>
    <w:rsid w:val="00D9738D"/>
    <w:rsid w:val="00DA07B3"/>
    <w:rsid w:val="00DA20B5"/>
    <w:rsid w:val="00DA394F"/>
    <w:rsid w:val="00DB30A5"/>
    <w:rsid w:val="00DB5F0A"/>
    <w:rsid w:val="00DB7F30"/>
    <w:rsid w:val="00DC32FC"/>
    <w:rsid w:val="00DC5F57"/>
    <w:rsid w:val="00DD15DE"/>
    <w:rsid w:val="00DE1B2E"/>
    <w:rsid w:val="00DE6DAD"/>
    <w:rsid w:val="00DE732E"/>
    <w:rsid w:val="00DF180B"/>
    <w:rsid w:val="00DF2F11"/>
    <w:rsid w:val="00DF7536"/>
    <w:rsid w:val="00E03BEC"/>
    <w:rsid w:val="00E06D32"/>
    <w:rsid w:val="00E1003D"/>
    <w:rsid w:val="00E11B21"/>
    <w:rsid w:val="00E20CD2"/>
    <w:rsid w:val="00E24A2F"/>
    <w:rsid w:val="00E24C51"/>
    <w:rsid w:val="00E3094F"/>
    <w:rsid w:val="00E346E9"/>
    <w:rsid w:val="00E378DA"/>
    <w:rsid w:val="00E41DB2"/>
    <w:rsid w:val="00E52A41"/>
    <w:rsid w:val="00E54A10"/>
    <w:rsid w:val="00E5533C"/>
    <w:rsid w:val="00E556E5"/>
    <w:rsid w:val="00E55BBE"/>
    <w:rsid w:val="00E656C1"/>
    <w:rsid w:val="00E65A08"/>
    <w:rsid w:val="00E747FA"/>
    <w:rsid w:val="00E7700A"/>
    <w:rsid w:val="00E770AF"/>
    <w:rsid w:val="00E772AB"/>
    <w:rsid w:val="00E87080"/>
    <w:rsid w:val="00E8728E"/>
    <w:rsid w:val="00E8740C"/>
    <w:rsid w:val="00E9309C"/>
    <w:rsid w:val="00E96AFF"/>
    <w:rsid w:val="00EA7EDF"/>
    <w:rsid w:val="00EB13B8"/>
    <w:rsid w:val="00EB1DB8"/>
    <w:rsid w:val="00EB5160"/>
    <w:rsid w:val="00EC1605"/>
    <w:rsid w:val="00EC6FA9"/>
    <w:rsid w:val="00ED0F6A"/>
    <w:rsid w:val="00ED7842"/>
    <w:rsid w:val="00EE766F"/>
    <w:rsid w:val="00EF0227"/>
    <w:rsid w:val="00EF02EE"/>
    <w:rsid w:val="00EF37A5"/>
    <w:rsid w:val="00EF7C77"/>
    <w:rsid w:val="00F01BC5"/>
    <w:rsid w:val="00F02833"/>
    <w:rsid w:val="00F041B8"/>
    <w:rsid w:val="00F108EA"/>
    <w:rsid w:val="00F12D05"/>
    <w:rsid w:val="00F14586"/>
    <w:rsid w:val="00F16A96"/>
    <w:rsid w:val="00F17B78"/>
    <w:rsid w:val="00F211A9"/>
    <w:rsid w:val="00F25F42"/>
    <w:rsid w:val="00F2701E"/>
    <w:rsid w:val="00F27EF4"/>
    <w:rsid w:val="00F30F70"/>
    <w:rsid w:val="00F31AFC"/>
    <w:rsid w:val="00F33A17"/>
    <w:rsid w:val="00F35A55"/>
    <w:rsid w:val="00F409BF"/>
    <w:rsid w:val="00F42D5F"/>
    <w:rsid w:val="00F44C13"/>
    <w:rsid w:val="00F468B4"/>
    <w:rsid w:val="00F469B6"/>
    <w:rsid w:val="00F513CA"/>
    <w:rsid w:val="00F55D7E"/>
    <w:rsid w:val="00F62D05"/>
    <w:rsid w:val="00F6405A"/>
    <w:rsid w:val="00F64925"/>
    <w:rsid w:val="00F67836"/>
    <w:rsid w:val="00F67B38"/>
    <w:rsid w:val="00F71783"/>
    <w:rsid w:val="00F81EF9"/>
    <w:rsid w:val="00F830F3"/>
    <w:rsid w:val="00F8368A"/>
    <w:rsid w:val="00F83790"/>
    <w:rsid w:val="00F97BF7"/>
    <w:rsid w:val="00FA1806"/>
    <w:rsid w:val="00FA23F4"/>
    <w:rsid w:val="00FA3202"/>
    <w:rsid w:val="00FA4133"/>
    <w:rsid w:val="00FA540D"/>
    <w:rsid w:val="00FB1DD4"/>
    <w:rsid w:val="00FB3DE3"/>
    <w:rsid w:val="00FC0EFB"/>
    <w:rsid w:val="00FC1885"/>
    <w:rsid w:val="00FC78EE"/>
    <w:rsid w:val="00FD2361"/>
    <w:rsid w:val="00FD4A48"/>
    <w:rsid w:val="00FD685C"/>
    <w:rsid w:val="00FD734F"/>
    <w:rsid w:val="00FD7C40"/>
    <w:rsid w:val="00FE0B67"/>
    <w:rsid w:val="00FE4AE6"/>
    <w:rsid w:val="00FE59A5"/>
    <w:rsid w:val="00FF0FF9"/>
    <w:rsid w:val="00FF1EA5"/>
    <w:rsid w:val="00FF24FB"/>
    <w:rsid w:val="00FF2DE6"/>
    <w:rsid w:val="00FF61F6"/>
    <w:rsid w:val="02E84A8C"/>
    <w:rsid w:val="14FC3219"/>
    <w:rsid w:val="318A2FA4"/>
    <w:rsid w:val="35BA7E01"/>
    <w:rsid w:val="39630C50"/>
    <w:rsid w:val="407A69AE"/>
    <w:rsid w:val="4A94692D"/>
    <w:rsid w:val="6F08474A"/>
    <w:rsid w:val="75210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5">
    <w:name w:val="Balloon Text"/>
    <w:basedOn w:val="1"/>
    <w:link w:val="19"/>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9">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character" w:styleId="11">
    <w:name w:val="Strong"/>
    <w:basedOn w:val="10"/>
    <w:qFormat/>
    <w:uiPriority w:val="22"/>
    <w:rPr>
      <w:b/>
      <w:bCs/>
    </w:rPr>
  </w:style>
  <w:style w:type="character" w:styleId="12">
    <w:name w:val="Hyperlink"/>
    <w:basedOn w:val="10"/>
    <w:unhideWhenUsed/>
    <w:qFormat/>
    <w:uiPriority w:val="99"/>
    <w:rPr>
      <w:color w:val="0000FF" w:themeColor="hyperlink"/>
      <w:u w:val="single"/>
    </w:rPr>
  </w:style>
  <w:style w:type="character" w:customStyle="1" w:styleId="14">
    <w:name w:val="页眉 Char"/>
    <w:basedOn w:val="10"/>
    <w:link w:val="7"/>
    <w:semiHidden/>
    <w:qFormat/>
    <w:uiPriority w:val="99"/>
    <w:rPr>
      <w:sz w:val="18"/>
      <w:szCs w:val="18"/>
    </w:rPr>
  </w:style>
  <w:style w:type="character" w:customStyle="1" w:styleId="15">
    <w:name w:val="页脚 Char"/>
    <w:basedOn w:val="10"/>
    <w:link w:val="6"/>
    <w:qFormat/>
    <w:uiPriority w:val="99"/>
    <w:rPr>
      <w:sz w:val="18"/>
      <w:szCs w:val="18"/>
    </w:rPr>
  </w:style>
  <w:style w:type="character" w:customStyle="1" w:styleId="16">
    <w:name w:val="标题 1 Char"/>
    <w:basedOn w:val="10"/>
    <w:link w:val="2"/>
    <w:qFormat/>
    <w:uiPriority w:val="9"/>
    <w:rPr>
      <w:rFonts w:ascii="Times New Roman" w:hAnsi="Times New Roman" w:eastAsia="宋体" w:cs="Times New Roman"/>
      <w:b/>
      <w:bCs/>
      <w:kern w:val="44"/>
      <w:sz w:val="44"/>
      <w:szCs w:val="44"/>
    </w:rPr>
  </w:style>
  <w:style w:type="character" w:customStyle="1" w:styleId="17">
    <w:name w:val="标题 2 Char"/>
    <w:basedOn w:val="10"/>
    <w:link w:val="3"/>
    <w:qFormat/>
    <w:uiPriority w:val="9"/>
    <w:rPr>
      <w:rFonts w:asciiTheme="majorHAnsi" w:hAnsiTheme="majorHAnsi" w:eastAsiaTheme="majorEastAsia" w:cstheme="majorBidi"/>
      <w:b/>
      <w:bCs/>
      <w:sz w:val="32"/>
      <w:szCs w:val="32"/>
    </w:rPr>
  </w:style>
  <w:style w:type="paragraph" w:customStyle="1" w:styleId="1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9">
    <w:name w:val="批注框文本 Char"/>
    <w:basedOn w:val="10"/>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F20838-D0C8-4B64-A4FA-A50A5B592C7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19</Pages>
  <Words>15157</Words>
  <Characters>15572</Characters>
  <Lines>128</Lines>
  <Paragraphs>36</Paragraphs>
  <TotalTime>2</TotalTime>
  <ScaleCrop>false</ScaleCrop>
  <LinksUpToDate>false</LinksUpToDate>
  <CharactersWithSpaces>15753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2022-05-05T09:47:00Z</dcterms:created>
  <dc:creator>chenbing</dc:creator>
  <cp:lastModifiedBy>我要瘦成闪电</cp:lastModifiedBy>
  <cp:lastPrinted>2022-05-11T08:00:59Z</cp:lastPrinted>
  <dcterms:modified xsi:type="dcterms:W3CDTF">2022-05-11T08:02:03Z</dcterms:modified>
  <cp:revision>1877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86C4D915366141B3B34419497D2CED6C</vt:lpwstr>
  </property>
  <property fmtid="{D5CDD505-2E9C-101B-9397-08002B2CF9AE}" pid="4" name="KSORubyTemplateID" linkTarget="0">
    <vt:lpwstr>6</vt:lpwstr>
  </property>
</Properties>
</file>